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D9B7" w14:textId="2FABC70A" w:rsidR="004E1C30" w:rsidRPr="004E1C30" w:rsidRDefault="5139A981" w:rsidP="770AA4E5">
      <w:pPr>
        <w:shd w:val="clear" w:color="auto" w:fill="FFFFFF" w:themeFill="background1"/>
        <w:spacing w:beforeAutospacing="1" w:line="300" w:lineRule="atLeast"/>
      </w:pPr>
      <w:r>
        <w:rPr>
          <w:noProof/>
        </w:rPr>
        <w:drawing>
          <wp:inline distT="0" distB="0" distL="0" distR="0" wp14:anchorId="36493EAF" wp14:editId="6A552958">
            <wp:extent cx="2456296" cy="438150"/>
            <wp:effectExtent l="0" t="0" r="0" b="0"/>
            <wp:docPr id="831610550" name="Picture 83161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6296" cy="438150"/>
                    </a:xfrm>
                    <a:prstGeom prst="rect">
                      <a:avLst/>
                    </a:prstGeom>
                  </pic:spPr>
                </pic:pic>
              </a:graphicData>
            </a:graphic>
          </wp:inline>
        </w:drawing>
      </w:r>
      <w:r w:rsidR="004E1C30">
        <w:br/>
      </w:r>
    </w:p>
    <w:p w14:paraId="18ECA512" w14:textId="49E801AF" w:rsidR="770AA4E5" w:rsidRDefault="770AA4E5" w:rsidP="770AA4E5">
      <w:pPr>
        <w:shd w:val="clear" w:color="auto" w:fill="FFFFFF" w:themeFill="background1"/>
        <w:spacing w:beforeAutospacing="1" w:line="300" w:lineRule="atLeast"/>
        <w:jc w:val="center"/>
        <w:outlineLvl w:val="1"/>
        <w:rPr>
          <w:rFonts w:ascii="Arial" w:eastAsia="Times New Roman" w:hAnsi="Arial" w:cs="Arial"/>
          <w:b/>
          <w:bCs/>
          <w:color w:val="000000" w:themeColor="text1"/>
          <w:sz w:val="20"/>
          <w:szCs w:val="20"/>
        </w:rPr>
      </w:pPr>
    </w:p>
    <w:p w14:paraId="3760F88D" w14:textId="7C83A7A8" w:rsidR="1DC29CE5" w:rsidRDefault="1DC29CE5" w:rsidP="770AA4E5">
      <w:pPr>
        <w:shd w:val="clear" w:color="auto" w:fill="FFFFFF" w:themeFill="background1"/>
        <w:spacing w:beforeAutospacing="1" w:line="300" w:lineRule="atLeast"/>
        <w:outlineLvl w:val="1"/>
        <w:rPr>
          <w:rFonts w:ascii="Arial" w:eastAsia="Times New Roman" w:hAnsi="Arial" w:cs="Arial"/>
          <w:color w:val="000000" w:themeColor="text1"/>
          <w:sz w:val="20"/>
          <w:szCs w:val="20"/>
        </w:rPr>
      </w:pPr>
      <w:r w:rsidRPr="770AA4E5">
        <w:rPr>
          <w:rFonts w:ascii="Arial" w:eastAsia="Times New Roman" w:hAnsi="Arial" w:cs="Arial"/>
          <w:color w:val="000000" w:themeColor="text1"/>
          <w:sz w:val="20"/>
          <w:szCs w:val="20"/>
        </w:rPr>
        <w:t>Friday Mach 8 2023</w:t>
      </w:r>
    </w:p>
    <w:p w14:paraId="52AB9A64" w14:textId="0C6402C9" w:rsidR="770AA4E5" w:rsidRDefault="770AA4E5" w:rsidP="770AA4E5">
      <w:pPr>
        <w:shd w:val="clear" w:color="auto" w:fill="FFFFFF" w:themeFill="background1"/>
        <w:spacing w:beforeAutospacing="1" w:line="300" w:lineRule="atLeast"/>
        <w:outlineLvl w:val="1"/>
        <w:rPr>
          <w:rFonts w:ascii="Arial" w:eastAsia="Times New Roman" w:hAnsi="Arial" w:cs="Arial"/>
          <w:color w:val="000000" w:themeColor="text1"/>
          <w:sz w:val="20"/>
          <w:szCs w:val="20"/>
        </w:rPr>
      </w:pPr>
    </w:p>
    <w:p w14:paraId="4F61D9FA" w14:textId="5D271D1B" w:rsidR="770AA4E5" w:rsidRDefault="770AA4E5" w:rsidP="770AA4E5">
      <w:pPr>
        <w:shd w:val="clear" w:color="auto" w:fill="FFFFFF" w:themeFill="background1"/>
        <w:spacing w:beforeAutospacing="1" w:line="300" w:lineRule="atLeast"/>
        <w:outlineLvl w:val="1"/>
        <w:rPr>
          <w:rFonts w:ascii="Arial" w:eastAsia="Times New Roman" w:hAnsi="Arial" w:cs="Arial"/>
          <w:b/>
          <w:bCs/>
          <w:color w:val="000000" w:themeColor="text1"/>
          <w:sz w:val="20"/>
          <w:szCs w:val="20"/>
        </w:rPr>
      </w:pPr>
    </w:p>
    <w:p w14:paraId="25DE619C" w14:textId="5B51DFFF" w:rsidR="5139A981" w:rsidRDefault="5139A981" w:rsidP="770AA4E5">
      <w:pPr>
        <w:shd w:val="clear" w:color="auto" w:fill="FFFFFF" w:themeFill="background1"/>
        <w:spacing w:beforeAutospacing="1" w:line="300" w:lineRule="atLeast"/>
        <w:jc w:val="center"/>
        <w:rPr>
          <w:rFonts w:eastAsiaTheme="minorEastAsia"/>
          <w:b/>
          <w:bCs/>
          <w:color w:val="000000" w:themeColor="text1"/>
          <w:sz w:val="20"/>
          <w:szCs w:val="20"/>
        </w:rPr>
      </w:pPr>
      <w:r w:rsidRPr="770AA4E5">
        <w:rPr>
          <w:rFonts w:eastAsiaTheme="minorEastAsia"/>
          <w:b/>
          <w:bCs/>
          <w:color w:val="000000" w:themeColor="text1"/>
          <w:sz w:val="20"/>
          <w:szCs w:val="20"/>
        </w:rPr>
        <w:t>FSRA’s Approach to Strengthen Protection of Vulnerable Consumers</w:t>
      </w:r>
    </w:p>
    <w:p w14:paraId="758BF275" w14:textId="37E08749" w:rsidR="33215AD0" w:rsidRDefault="33215AD0" w:rsidP="770AA4E5">
      <w:pPr>
        <w:shd w:val="clear" w:color="auto" w:fill="FFFFFF" w:themeFill="background1"/>
        <w:spacing w:beforeAutospacing="1" w:line="300" w:lineRule="atLeast"/>
        <w:jc w:val="center"/>
        <w:rPr>
          <w:rFonts w:eastAsiaTheme="minorEastAsia"/>
          <w:b/>
          <w:bCs/>
          <w:color w:val="000000" w:themeColor="text1"/>
          <w:sz w:val="20"/>
          <w:szCs w:val="20"/>
        </w:rPr>
      </w:pPr>
      <w:r w:rsidRPr="770AA4E5">
        <w:rPr>
          <w:rFonts w:eastAsiaTheme="minorEastAsia"/>
          <w:b/>
          <w:bCs/>
          <w:color w:val="000000" w:themeColor="text1"/>
          <w:sz w:val="20"/>
          <w:szCs w:val="20"/>
        </w:rPr>
        <w:t>&amp;</w:t>
      </w:r>
    </w:p>
    <w:p w14:paraId="7F0E34DD" w14:textId="77777777" w:rsidR="004E1C30" w:rsidRPr="004E1C30" w:rsidRDefault="004E1C30" w:rsidP="770AA4E5">
      <w:pPr>
        <w:shd w:val="clear" w:color="auto" w:fill="FFFFFF" w:themeFill="background1"/>
        <w:spacing w:beforeAutospacing="1" w:line="300" w:lineRule="atLeast"/>
        <w:jc w:val="center"/>
        <w:outlineLvl w:val="1"/>
        <w:rPr>
          <w:rFonts w:ascii="Arial" w:eastAsia="Times New Roman" w:hAnsi="Arial" w:cs="Arial"/>
          <w:b/>
          <w:bCs/>
          <w:color w:val="000000" w:themeColor="text1"/>
          <w:sz w:val="20"/>
          <w:szCs w:val="20"/>
        </w:rPr>
      </w:pPr>
      <w:r w:rsidRPr="770AA4E5">
        <w:rPr>
          <w:rFonts w:eastAsiaTheme="minorEastAsia"/>
          <w:b/>
          <w:bCs/>
          <w:color w:val="000000" w:themeColor="text1"/>
          <w:sz w:val="20"/>
          <w:szCs w:val="20"/>
        </w:rPr>
        <w:t xml:space="preserve">Gender Markers </w:t>
      </w:r>
      <w:r w:rsidR="4E7FF176" w:rsidRPr="770AA4E5">
        <w:rPr>
          <w:rFonts w:eastAsiaTheme="minorEastAsia"/>
          <w:b/>
          <w:bCs/>
          <w:color w:val="000000" w:themeColor="text1"/>
          <w:sz w:val="20"/>
          <w:szCs w:val="20"/>
        </w:rPr>
        <w:t>in</w:t>
      </w:r>
      <w:r w:rsidRPr="770AA4E5">
        <w:rPr>
          <w:rFonts w:eastAsiaTheme="minorEastAsia"/>
          <w:b/>
          <w:bCs/>
          <w:color w:val="000000" w:themeColor="text1"/>
          <w:sz w:val="20"/>
          <w:szCs w:val="20"/>
        </w:rPr>
        <w:t xml:space="preserve"> Insurance </w:t>
      </w:r>
    </w:p>
    <w:p w14:paraId="492AAA4C" w14:textId="333175A3" w:rsidR="112D7CE2" w:rsidRDefault="112D7CE2" w:rsidP="112D7CE2">
      <w:pPr>
        <w:shd w:val="clear" w:color="auto" w:fill="FFFFFF" w:themeFill="background1"/>
        <w:spacing w:beforeAutospacing="1" w:line="300" w:lineRule="atLeast"/>
        <w:jc w:val="center"/>
        <w:outlineLvl w:val="1"/>
        <w:rPr>
          <w:rFonts w:ascii="Arial" w:eastAsia="Times New Roman" w:hAnsi="Arial" w:cs="Arial"/>
          <w:b/>
          <w:bCs/>
          <w:color w:val="000000" w:themeColor="text1"/>
          <w:sz w:val="20"/>
          <w:szCs w:val="20"/>
        </w:rPr>
      </w:pPr>
    </w:p>
    <w:p w14:paraId="0ECD1693" w14:textId="2D701AF5" w:rsidR="6B3F51FF" w:rsidRDefault="6B3F51FF" w:rsidP="770AA4E5">
      <w:pPr>
        <w:shd w:val="clear" w:color="auto" w:fill="FFFFFF" w:themeFill="background1"/>
        <w:spacing w:beforeAutospacing="1" w:line="300" w:lineRule="atLeast"/>
        <w:jc w:val="center"/>
        <w:outlineLvl w:val="1"/>
        <w:rPr>
          <w:rFonts w:ascii="Arial" w:eastAsia="Times New Roman" w:hAnsi="Arial" w:cs="Arial"/>
          <w:b/>
          <w:bCs/>
          <w:color w:val="000000" w:themeColor="text1"/>
          <w:sz w:val="20"/>
          <w:szCs w:val="20"/>
        </w:rPr>
      </w:pPr>
    </w:p>
    <w:p w14:paraId="2D903F5D" w14:textId="2CAEE736" w:rsidR="6B3F51FF" w:rsidRDefault="6F2D7EDD" w:rsidP="770AA4E5">
      <w:pPr>
        <w:shd w:val="clear" w:color="auto" w:fill="FFFFFF" w:themeFill="background1"/>
        <w:spacing w:beforeAutospacing="1" w:line="300" w:lineRule="atLeast"/>
        <w:outlineLvl w:val="1"/>
        <w:rPr>
          <w:rFonts w:ascii="Arial" w:eastAsia="Times New Roman" w:hAnsi="Arial" w:cs="Arial"/>
          <w:color w:val="000000" w:themeColor="text1"/>
          <w:sz w:val="20"/>
          <w:szCs w:val="20"/>
        </w:rPr>
      </w:pPr>
      <w:r w:rsidRPr="770AA4E5">
        <w:rPr>
          <w:rFonts w:ascii="Arial" w:eastAsia="Times New Roman" w:hAnsi="Arial" w:cs="Arial"/>
          <w:color w:val="000000" w:themeColor="text1"/>
          <w:sz w:val="20"/>
          <w:szCs w:val="20"/>
        </w:rPr>
        <w:t>Dear Stuart Wilkinson,</w:t>
      </w:r>
    </w:p>
    <w:p w14:paraId="34E7DC06" w14:textId="384477D4" w:rsidR="6B3F51FF" w:rsidRDefault="6B3F51FF" w:rsidP="770AA4E5">
      <w:pPr>
        <w:shd w:val="clear" w:color="auto" w:fill="FFFFFF" w:themeFill="background1"/>
        <w:spacing w:beforeAutospacing="1" w:line="300" w:lineRule="atLeast"/>
        <w:jc w:val="center"/>
        <w:outlineLvl w:val="1"/>
        <w:rPr>
          <w:rFonts w:ascii="Arial" w:eastAsia="Times New Roman" w:hAnsi="Arial" w:cs="Arial"/>
          <w:b/>
          <w:bCs/>
          <w:color w:val="000000" w:themeColor="text1"/>
          <w:sz w:val="20"/>
          <w:szCs w:val="20"/>
        </w:rPr>
      </w:pPr>
    </w:p>
    <w:p w14:paraId="29C39D48" w14:textId="1198B58A" w:rsidR="6B3F51FF" w:rsidRDefault="4BF0F12C" w:rsidP="770AA4E5">
      <w:pPr>
        <w:shd w:val="clear" w:color="auto" w:fill="FFFFFF" w:themeFill="background1"/>
        <w:spacing w:beforeAutospacing="1" w:line="300" w:lineRule="atLeast"/>
        <w:outlineLvl w:val="1"/>
        <w:rPr>
          <w:rFonts w:ascii="Arial" w:eastAsia="Times New Roman" w:hAnsi="Arial" w:cs="Arial"/>
          <w:b/>
          <w:bCs/>
          <w:color w:val="000000" w:themeColor="text1"/>
          <w:sz w:val="20"/>
          <w:szCs w:val="20"/>
        </w:rPr>
      </w:pPr>
      <w:r w:rsidRPr="770AA4E5">
        <w:rPr>
          <w:rFonts w:ascii="Arial" w:eastAsia="Times New Roman" w:hAnsi="Arial" w:cs="Arial"/>
          <w:color w:val="000000" w:themeColor="text1"/>
          <w:sz w:val="20"/>
          <w:szCs w:val="20"/>
        </w:rPr>
        <w:t>On February 8</w:t>
      </w:r>
      <w:r w:rsidRPr="770AA4E5">
        <w:rPr>
          <w:rFonts w:ascii="Arial" w:eastAsia="Times New Roman" w:hAnsi="Arial" w:cs="Arial"/>
          <w:color w:val="000000" w:themeColor="text1"/>
          <w:sz w:val="20"/>
          <w:szCs w:val="20"/>
          <w:vertAlign w:val="superscript"/>
        </w:rPr>
        <w:t>th</w:t>
      </w:r>
      <w:r w:rsidRPr="770AA4E5">
        <w:rPr>
          <w:rFonts w:ascii="Arial" w:eastAsia="Times New Roman" w:hAnsi="Arial" w:cs="Arial"/>
          <w:color w:val="000000" w:themeColor="text1"/>
          <w:sz w:val="20"/>
          <w:szCs w:val="20"/>
        </w:rPr>
        <w:t xml:space="preserve"> members of IBAO’s Diversity Equity and Inclusion committee attended your webinar regarding FSRA’s approach to strengthening the protection of vulnerable consumers.  </w:t>
      </w:r>
      <w:r w:rsidR="1B90996A" w:rsidRPr="770AA4E5">
        <w:rPr>
          <w:rFonts w:ascii="Arial" w:eastAsia="Times New Roman" w:hAnsi="Arial" w:cs="Arial"/>
          <w:color w:val="000000" w:themeColor="text1"/>
          <w:sz w:val="20"/>
          <w:szCs w:val="20"/>
        </w:rPr>
        <w:t xml:space="preserve">Our committee is made up of working RIBO licensed brokers who represent a diverse cross section of backgrounds. </w:t>
      </w:r>
      <w:r w:rsidRPr="770AA4E5">
        <w:rPr>
          <w:rFonts w:ascii="Arial" w:eastAsia="Times New Roman" w:hAnsi="Arial" w:cs="Arial"/>
          <w:color w:val="000000" w:themeColor="text1"/>
          <w:sz w:val="20"/>
          <w:szCs w:val="20"/>
        </w:rPr>
        <w:t>Thank you for hosting this event and for prioritizing these efforts</w:t>
      </w:r>
      <w:r w:rsidR="4081F519" w:rsidRPr="770AA4E5">
        <w:rPr>
          <w:rFonts w:ascii="Arial" w:eastAsia="Times New Roman" w:hAnsi="Arial" w:cs="Arial"/>
          <w:color w:val="000000" w:themeColor="text1"/>
          <w:sz w:val="20"/>
          <w:szCs w:val="20"/>
        </w:rPr>
        <w:t xml:space="preserve">. IBAO is a strong supporter of this mandate. </w:t>
      </w:r>
    </w:p>
    <w:p w14:paraId="53473D14" w14:textId="00FD4F24" w:rsidR="6B3F51FF" w:rsidRDefault="6B3F51FF" w:rsidP="770AA4E5">
      <w:pPr>
        <w:shd w:val="clear" w:color="auto" w:fill="FFFFFF" w:themeFill="background1"/>
        <w:spacing w:beforeAutospacing="1" w:line="300" w:lineRule="atLeast"/>
        <w:outlineLvl w:val="1"/>
        <w:rPr>
          <w:rFonts w:ascii="Arial" w:eastAsia="Times New Roman" w:hAnsi="Arial" w:cs="Arial"/>
          <w:color w:val="000000" w:themeColor="text1"/>
          <w:sz w:val="20"/>
          <w:szCs w:val="20"/>
        </w:rPr>
      </w:pPr>
    </w:p>
    <w:p w14:paraId="14A9767E" w14:textId="6B939934" w:rsidR="6B3F51FF" w:rsidRDefault="4081F519" w:rsidP="770AA4E5">
      <w:pPr>
        <w:shd w:val="clear" w:color="auto" w:fill="FFFFFF" w:themeFill="background1"/>
        <w:spacing w:beforeAutospacing="1" w:line="300" w:lineRule="atLeast"/>
        <w:outlineLvl w:val="1"/>
        <w:rPr>
          <w:rFonts w:ascii="Arial" w:eastAsia="Times New Roman" w:hAnsi="Arial" w:cs="Arial"/>
          <w:color w:val="000000" w:themeColor="text1"/>
          <w:sz w:val="20"/>
          <w:szCs w:val="20"/>
        </w:rPr>
      </w:pPr>
      <w:r w:rsidRPr="770AA4E5">
        <w:rPr>
          <w:rFonts w:ascii="Arial" w:eastAsia="Times New Roman" w:hAnsi="Arial" w:cs="Arial"/>
          <w:color w:val="000000" w:themeColor="text1"/>
          <w:sz w:val="20"/>
          <w:szCs w:val="20"/>
        </w:rPr>
        <w:t>As a result of this call</w:t>
      </w:r>
      <w:r w:rsidR="0B6FD4F1" w:rsidRPr="770AA4E5">
        <w:rPr>
          <w:rFonts w:ascii="Arial" w:eastAsia="Times New Roman" w:hAnsi="Arial" w:cs="Arial"/>
          <w:color w:val="000000" w:themeColor="text1"/>
          <w:sz w:val="20"/>
          <w:szCs w:val="20"/>
        </w:rPr>
        <w:t xml:space="preserve"> and after </w:t>
      </w:r>
      <w:r w:rsidR="2B1C2E72" w:rsidRPr="770AA4E5">
        <w:rPr>
          <w:rFonts w:ascii="Arial" w:eastAsia="Times New Roman" w:hAnsi="Arial" w:cs="Arial"/>
          <w:color w:val="000000" w:themeColor="text1"/>
          <w:sz w:val="20"/>
          <w:szCs w:val="20"/>
        </w:rPr>
        <w:t>further</w:t>
      </w:r>
      <w:r w:rsidR="0B6FD4F1" w:rsidRPr="770AA4E5">
        <w:rPr>
          <w:rFonts w:ascii="Arial" w:eastAsia="Times New Roman" w:hAnsi="Arial" w:cs="Arial"/>
          <w:color w:val="000000" w:themeColor="text1"/>
          <w:sz w:val="20"/>
          <w:szCs w:val="20"/>
        </w:rPr>
        <w:t xml:space="preserve"> review of your materials</w:t>
      </w:r>
      <w:r w:rsidRPr="770AA4E5">
        <w:rPr>
          <w:rFonts w:ascii="Arial" w:eastAsia="Times New Roman" w:hAnsi="Arial" w:cs="Arial"/>
          <w:color w:val="000000" w:themeColor="text1"/>
          <w:sz w:val="20"/>
          <w:szCs w:val="20"/>
        </w:rPr>
        <w:t xml:space="preserve">, IBAO’s DEI Committee wanted to flag </w:t>
      </w:r>
      <w:r w:rsidR="53CEE837" w:rsidRPr="770AA4E5">
        <w:rPr>
          <w:rFonts w:ascii="Arial" w:eastAsia="Times New Roman" w:hAnsi="Arial" w:cs="Arial"/>
          <w:color w:val="000000" w:themeColor="text1"/>
          <w:sz w:val="20"/>
          <w:szCs w:val="20"/>
        </w:rPr>
        <w:t>an</w:t>
      </w:r>
      <w:r w:rsidRPr="770AA4E5">
        <w:rPr>
          <w:rFonts w:ascii="Arial" w:eastAsia="Times New Roman" w:hAnsi="Arial" w:cs="Arial"/>
          <w:color w:val="000000" w:themeColor="text1"/>
          <w:sz w:val="20"/>
          <w:szCs w:val="20"/>
        </w:rPr>
        <w:t xml:space="preserve"> issue that may be of interest to you. </w:t>
      </w:r>
      <w:r w:rsidR="187F5602" w:rsidRPr="770AA4E5">
        <w:rPr>
          <w:rFonts w:ascii="Arial" w:eastAsia="Times New Roman" w:hAnsi="Arial" w:cs="Arial"/>
          <w:color w:val="000000" w:themeColor="text1"/>
          <w:sz w:val="20"/>
          <w:szCs w:val="20"/>
        </w:rPr>
        <w:t>While th</w:t>
      </w:r>
      <w:r w:rsidR="16B79BB1" w:rsidRPr="770AA4E5">
        <w:rPr>
          <w:rFonts w:ascii="Arial" w:eastAsia="Times New Roman" w:hAnsi="Arial" w:cs="Arial"/>
          <w:color w:val="000000" w:themeColor="text1"/>
          <w:sz w:val="20"/>
          <w:szCs w:val="20"/>
        </w:rPr>
        <w:t xml:space="preserve">is is </w:t>
      </w:r>
      <w:r w:rsidR="617B91B4" w:rsidRPr="770AA4E5">
        <w:rPr>
          <w:rFonts w:ascii="Arial" w:eastAsia="Times New Roman" w:hAnsi="Arial" w:cs="Arial"/>
          <w:color w:val="000000" w:themeColor="text1"/>
          <w:sz w:val="20"/>
          <w:szCs w:val="20"/>
        </w:rPr>
        <w:t xml:space="preserve">certainly </w:t>
      </w:r>
      <w:r w:rsidR="16B79BB1" w:rsidRPr="770AA4E5">
        <w:rPr>
          <w:rFonts w:ascii="Arial" w:eastAsia="Times New Roman" w:hAnsi="Arial" w:cs="Arial"/>
          <w:color w:val="000000" w:themeColor="text1"/>
          <w:sz w:val="20"/>
          <w:szCs w:val="20"/>
        </w:rPr>
        <w:t xml:space="preserve">not an </w:t>
      </w:r>
      <w:r w:rsidR="3097CEB0" w:rsidRPr="770AA4E5">
        <w:rPr>
          <w:rFonts w:ascii="Arial" w:eastAsia="Times New Roman" w:hAnsi="Arial" w:cs="Arial"/>
          <w:color w:val="000000" w:themeColor="text1"/>
          <w:sz w:val="20"/>
          <w:szCs w:val="20"/>
        </w:rPr>
        <w:t>exclusive</w:t>
      </w:r>
      <w:r w:rsidR="16B79BB1" w:rsidRPr="770AA4E5">
        <w:rPr>
          <w:rFonts w:ascii="Arial" w:eastAsia="Times New Roman" w:hAnsi="Arial" w:cs="Arial"/>
          <w:color w:val="000000" w:themeColor="text1"/>
          <w:sz w:val="20"/>
          <w:szCs w:val="20"/>
        </w:rPr>
        <w:t xml:space="preserve"> list of</w:t>
      </w:r>
      <w:r w:rsidR="187F5602" w:rsidRPr="770AA4E5">
        <w:rPr>
          <w:rFonts w:ascii="Arial" w:eastAsia="Times New Roman" w:hAnsi="Arial" w:cs="Arial"/>
          <w:color w:val="000000" w:themeColor="text1"/>
          <w:sz w:val="20"/>
          <w:szCs w:val="20"/>
        </w:rPr>
        <w:t xml:space="preserve"> vulnerable consumers</w:t>
      </w:r>
      <w:r w:rsidR="14AB2206" w:rsidRPr="770AA4E5">
        <w:rPr>
          <w:rFonts w:ascii="Arial" w:eastAsia="Times New Roman" w:hAnsi="Arial" w:cs="Arial"/>
          <w:color w:val="000000" w:themeColor="text1"/>
          <w:sz w:val="20"/>
          <w:szCs w:val="20"/>
        </w:rPr>
        <w:t xml:space="preserve"> impacted in the P&amp;C industry, th</w:t>
      </w:r>
      <w:r w:rsidR="2340D09E" w:rsidRPr="770AA4E5">
        <w:rPr>
          <w:rFonts w:ascii="Arial" w:eastAsia="Times New Roman" w:hAnsi="Arial" w:cs="Arial"/>
          <w:color w:val="000000" w:themeColor="text1"/>
          <w:sz w:val="20"/>
          <w:szCs w:val="20"/>
        </w:rPr>
        <w:t>is</w:t>
      </w:r>
      <w:r w:rsidR="187F5602" w:rsidRPr="770AA4E5">
        <w:rPr>
          <w:rFonts w:ascii="Arial" w:eastAsia="Times New Roman" w:hAnsi="Arial" w:cs="Arial"/>
          <w:color w:val="000000" w:themeColor="text1"/>
          <w:sz w:val="20"/>
          <w:szCs w:val="20"/>
        </w:rPr>
        <w:t xml:space="preserve"> example</w:t>
      </w:r>
      <w:r w:rsidR="2ADA57C6" w:rsidRPr="770AA4E5">
        <w:rPr>
          <w:rFonts w:ascii="Arial" w:eastAsia="Times New Roman" w:hAnsi="Arial" w:cs="Arial"/>
          <w:color w:val="000000" w:themeColor="text1"/>
          <w:sz w:val="20"/>
          <w:szCs w:val="20"/>
        </w:rPr>
        <w:t xml:space="preserve"> is one in</w:t>
      </w:r>
      <w:r w:rsidRPr="770AA4E5">
        <w:rPr>
          <w:rFonts w:ascii="Arial" w:eastAsia="Times New Roman" w:hAnsi="Arial" w:cs="Arial"/>
          <w:color w:val="000000" w:themeColor="text1"/>
          <w:sz w:val="20"/>
          <w:szCs w:val="20"/>
        </w:rPr>
        <w:t xml:space="preserve"> </w:t>
      </w:r>
      <w:r w:rsidR="69EC1E98" w:rsidRPr="770AA4E5">
        <w:rPr>
          <w:rFonts w:ascii="Arial" w:eastAsia="Times New Roman" w:hAnsi="Arial" w:cs="Arial"/>
          <w:color w:val="000000" w:themeColor="text1"/>
          <w:sz w:val="20"/>
          <w:szCs w:val="20"/>
        </w:rPr>
        <w:t>which we wanted to highlight today.</w:t>
      </w:r>
    </w:p>
    <w:p w14:paraId="23B01A53" w14:textId="12C3D2C3" w:rsidR="6B3F51FF" w:rsidRDefault="6B3F51FF" w:rsidP="770AA4E5">
      <w:pPr>
        <w:shd w:val="clear" w:color="auto" w:fill="FFFFFF" w:themeFill="background1"/>
        <w:spacing w:beforeAutospacing="1" w:line="300" w:lineRule="atLeast"/>
        <w:outlineLvl w:val="1"/>
        <w:rPr>
          <w:rFonts w:ascii="Arial" w:eastAsia="Times New Roman" w:hAnsi="Arial" w:cs="Arial"/>
          <w:color w:val="000000" w:themeColor="text1"/>
          <w:sz w:val="20"/>
          <w:szCs w:val="20"/>
        </w:rPr>
      </w:pPr>
    </w:p>
    <w:p w14:paraId="4CCE5E36" w14:textId="3B7287E1" w:rsidR="6B3F51FF" w:rsidRDefault="02B93A00" w:rsidP="770AA4E5">
      <w:pPr>
        <w:shd w:val="clear" w:color="auto" w:fill="FFFFFF" w:themeFill="background1"/>
        <w:spacing w:beforeAutospacing="1" w:line="300" w:lineRule="atLeast"/>
        <w:outlineLvl w:val="1"/>
        <w:rPr>
          <w:rFonts w:ascii="Arial" w:eastAsia="Times New Roman" w:hAnsi="Arial" w:cs="Arial"/>
          <w:color w:val="000000" w:themeColor="text1"/>
          <w:sz w:val="20"/>
          <w:szCs w:val="20"/>
        </w:rPr>
      </w:pPr>
      <w:r w:rsidRPr="770AA4E5">
        <w:rPr>
          <w:rFonts w:ascii="Arial" w:eastAsia="Times New Roman" w:hAnsi="Arial" w:cs="Arial"/>
          <w:color w:val="000000" w:themeColor="text1"/>
          <w:sz w:val="20"/>
          <w:szCs w:val="20"/>
        </w:rPr>
        <w:t>In addition to any efforts FSRA actions on th</w:t>
      </w:r>
      <w:r w:rsidR="1273CD69" w:rsidRPr="770AA4E5">
        <w:rPr>
          <w:rFonts w:ascii="Arial" w:eastAsia="Times New Roman" w:hAnsi="Arial" w:cs="Arial"/>
          <w:color w:val="000000" w:themeColor="text1"/>
          <w:sz w:val="20"/>
          <w:szCs w:val="20"/>
        </w:rPr>
        <w:t>is file</w:t>
      </w:r>
      <w:r w:rsidRPr="770AA4E5">
        <w:rPr>
          <w:rFonts w:ascii="Arial" w:eastAsia="Times New Roman" w:hAnsi="Arial" w:cs="Arial"/>
          <w:color w:val="000000" w:themeColor="text1"/>
          <w:sz w:val="20"/>
          <w:szCs w:val="20"/>
        </w:rPr>
        <w:t xml:space="preserve">, the Insurance Brokers Association of Ontario </w:t>
      </w:r>
      <w:r w:rsidR="05FE13F6" w:rsidRPr="770AA4E5">
        <w:rPr>
          <w:rFonts w:ascii="Arial" w:eastAsia="Times New Roman" w:hAnsi="Arial" w:cs="Arial"/>
          <w:color w:val="000000" w:themeColor="text1"/>
          <w:sz w:val="20"/>
          <w:szCs w:val="20"/>
        </w:rPr>
        <w:t xml:space="preserve">will also be exploring the issue in more detail on our end. </w:t>
      </w:r>
    </w:p>
    <w:p w14:paraId="74C8FE6F" w14:textId="076C82F3" w:rsidR="6B3F51FF" w:rsidRDefault="6B3F51FF" w:rsidP="770AA4E5">
      <w:pPr>
        <w:shd w:val="clear" w:color="auto" w:fill="FFFFFF" w:themeFill="background1"/>
        <w:spacing w:beforeAutospacing="1" w:line="300" w:lineRule="atLeast"/>
        <w:outlineLvl w:val="1"/>
        <w:rPr>
          <w:rFonts w:ascii="Times New Roman" w:eastAsia="Times New Roman" w:hAnsi="Times New Roman" w:cs="Times New Roman"/>
          <w:color w:val="212121"/>
          <w:sz w:val="22"/>
          <w:szCs w:val="22"/>
        </w:rPr>
      </w:pPr>
    </w:p>
    <w:p w14:paraId="035BA571" w14:textId="4278DFDF" w:rsidR="6B3F51FF" w:rsidRDefault="05FE13F6" w:rsidP="770AA4E5">
      <w:pPr>
        <w:shd w:val="clear" w:color="auto" w:fill="FFFFFF" w:themeFill="background1"/>
        <w:spacing w:beforeAutospacing="1" w:line="300" w:lineRule="atLeast"/>
        <w:outlineLvl w:val="1"/>
        <w:rPr>
          <w:rFonts w:ascii="Arial" w:eastAsia="Times New Roman" w:hAnsi="Arial" w:cs="Arial"/>
          <w:b/>
          <w:bCs/>
          <w:color w:val="000000" w:themeColor="text1"/>
          <w:sz w:val="20"/>
          <w:szCs w:val="20"/>
          <w:u w:val="single"/>
        </w:rPr>
      </w:pPr>
      <w:r w:rsidRPr="770AA4E5">
        <w:rPr>
          <w:rFonts w:eastAsiaTheme="minorEastAsia"/>
          <w:b/>
          <w:bCs/>
          <w:color w:val="000000" w:themeColor="text1"/>
          <w:sz w:val="20"/>
          <w:szCs w:val="20"/>
          <w:u w:val="single"/>
        </w:rPr>
        <w:lastRenderedPageBreak/>
        <w:t>Group #1: Transgender Auto Insurance Consumers</w:t>
      </w:r>
      <w:r w:rsidR="6B3F51FF" w:rsidRPr="770AA4E5">
        <w:rPr>
          <w:rFonts w:eastAsiaTheme="minorEastAsia"/>
          <w:b/>
          <w:bCs/>
          <w:color w:val="000000" w:themeColor="text1"/>
          <w:sz w:val="20"/>
          <w:szCs w:val="20"/>
          <w:u w:val="single"/>
        </w:rPr>
        <w:t xml:space="preserve"> </w:t>
      </w:r>
    </w:p>
    <w:p w14:paraId="6F076E52" w14:textId="35C06FF3" w:rsidR="4F7A1CA0" w:rsidRDefault="4F7A1CA0" w:rsidP="770AA4E5">
      <w:pPr>
        <w:pStyle w:val="Heading2"/>
        <w:rPr>
          <w:rFonts w:ascii="Arial" w:eastAsia="Arial" w:hAnsi="Arial" w:cs="Arial"/>
          <w:b/>
          <w:bCs/>
          <w:color w:val="212121"/>
          <w:sz w:val="20"/>
          <w:szCs w:val="20"/>
        </w:rPr>
      </w:pPr>
      <w:r w:rsidRPr="770AA4E5">
        <w:rPr>
          <w:rFonts w:asciiTheme="minorHAnsi" w:eastAsiaTheme="minorEastAsia" w:hAnsiTheme="minorHAnsi" w:cstheme="minorBidi"/>
          <w:b/>
          <w:bCs/>
          <w:color w:val="212121"/>
          <w:sz w:val="20"/>
          <w:szCs w:val="20"/>
        </w:rPr>
        <w:t>B</w:t>
      </w:r>
      <w:r w:rsidR="7732AB3B" w:rsidRPr="770AA4E5">
        <w:rPr>
          <w:rFonts w:asciiTheme="minorHAnsi" w:eastAsiaTheme="minorEastAsia" w:hAnsiTheme="minorHAnsi" w:cstheme="minorBidi"/>
          <w:b/>
          <w:bCs/>
          <w:color w:val="212121"/>
          <w:sz w:val="20"/>
          <w:szCs w:val="20"/>
        </w:rPr>
        <w:t>ackground</w:t>
      </w:r>
      <w:r w:rsidRPr="770AA4E5">
        <w:rPr>
          <w:rFonts w:asciiTheme="minorHAnsi" w:eastAsiaTheme="minorEastAsia" w:hAnsiTheme="minorHAnsi" w:cstheme="minorBidi"/>
          <w:b/>
          <w:bCs/>
          <w:color w:val="212121"/>
          <w:sz w:val="20"/>
          <w:szCs w:val="20"/>
        </w:rPr>
        <w:t>:</w:t>
      </w:r>
    </w:p>
    <w:p w14:paraId="228ADDC5" w14:textId="468D4449" w:rsidR="6B3F51FF" w:rsidRDefault="00000000" w:rsidP="770AA4E5">
      <w:pPr>
        <w:pStyle w:val="Heading2"/>
        <w:numPr>
          <w:ilvl w:val="0"/>
          <w:numId w:val="2"/>
        </w:numPr>
        <w:rPr>
          <w:rFonts w:ascii="Arial" w:eastAsia="Arial" w:hAnsi="Arial" w:cs="Arial"/>
          <w:color w:val="212121"/>
          <w:sz w:val="20"/>
          <w:szCs w:val="20"/>
        </w:rPr>
      </w:pPr>
      <w:hyperlink r:id="rId6">
        <w:r w:rsidR="6B3F51FF" w:rsidRPr="770AA4E5">
          <w:rPr>
            <w:rStyle w:val="Hyperlink"/>
            <w:rFonts w:ascii="Arial" w:eastAsia="Arial" w:hAnsi="Arial" w:cs="Arial"/>
            <w:color w:val="0078D7"/>
            <w:sz w:val="20"/>
            <w:szCs w:val="20"/>
            <w:u w:val="none"/>
          </w:rPr>
          <w:t>One in 300 people in Canada aged 15 and older are transgender or non-binary, as per Stats Can</w:t>
        </w:r>
      </w:hyperlink>
      <w:r w:rsidR="6B3F51FF" w:rsidRPr="770AA4E5">
        <w:rPr>
          <w:rFonts w:ascii="Arial" w:eastAsia="Arial" w:hAnsi="Arial" w:cs="Arial"/>
          <w:color w:val="212121"/>
          <w:sz w:val="20"/>
          <w:szCs w:val="20"/>
        </w:rPr>
        <w:t>.</w:t>
      </w:r>
    </w:p>
    <w:p w14:paraId="17C53B80" w14:textId="68B9DCDA" w:rsidR="6B3F51FF" w:rsidRDefault="6B3F51FF" w:rsidP="770AA4E5">
      <w:pPr>
        <w:pStyle w:val="ListParagraph"/>
        <w:numPr>
          <w:ilvl w:val="0"/>
          <w:numId w:val="2"/>
        </w:numPr>
        <w:rPr>
          <w:rFonts w:ascii="Arial" w:eastAsia="Arial" w:hAnsi="Arial" w:cs="Arial"/>
          <w:color w:val="212121"/>
          <w:sz w:val="20"/>
          <w:szCs w:val="20"/>
        </w:rPr>
      </w:pPr>
      <w:r w:rsidRPr="770AA4E5">
        <w:rPr>
          <w:rFonts w:ascii="Arial" w:eastAsia="Arial" w:hAnsi="Arial" w:cs="Arial"/>
          <w:color w:val="212121"/>
          <w:sz w:val="20"/>
          <w:szCs w:val="20"/>
        </w:rPr>
        <w:t>Citizens who do not identify as either female or male can list their gender as "X" on Canadian identification documents.   This includes passports, citizenship certificates and permanent resident cards.</w:t>
      </w:r>
    </w:p>
    <w:p w14:paraId="65EE11E8" w14:textId="120A80B5" w:rsidR="6B3F51FF" w:rsidRDefault="6B3F51FF" w:rsidP="770AA4E5">
      <w:pPr>
        <w:pStyle w:val="ListParagraph"/>
        <w:numPr>
          <w:ilvl w:val="0"/>
          <w:numId w:val="2"/>
        </w:numPr>
        <w:rPr>
          <w:rFonts w:ascii="Arial" w:eastAsia="Arial" w:hAnsi="Arial" w:cs="Arial"/>
          <w:color w:val="212121"/>
          <w:sz w:val="20"/>
          <w:szCs w:val="20"/>
        </w:rPr>
      </w:pPr>
      <w:r w:rsidRPr="770AA4E5">
        <w:rPr>
          <w:rFonts w:ascii="Arial" w:eastAsia="Arial" w:hAnsi="Arial" w:cs="Arial"/>
          <w:color w:val="212121"/>
          <w:sz w:val="20"/>
          <w:szCs w:val="20"/>
        </w:rPr>
        <w:t>Since 2017, Ontario drivers have had the option to display an 'X' in the sex field of their driver's licence, to ensure the fair, ethical and equitable treatment of people with trans and non-binary gender identity.</w:t>
      </w:r>
    </w:p>
    <w:p w14:paraId="5818CA8F" w14:textId="12AC69CA" w:rsidR="6B3F51FF" w:rsidRDefault="6B3F51FF" w:rsidP="770AA4E5">
      <w:pPr>
        <w:pStyle w:val="ListParagraph"/>
        <w:numPr>
          <w:ilvl w:val="0"/>
          <w:numId w:val="2"/>
        </w:numPr>
        <w:rPr>
          <w:rFonts w:ascii="Arial" w:eastAsia="Arial" w:hAnsi="Arial" w:cs="Arial"/>
          <w:color w:val="212121"/>
          <w:sz w:val="20"/>
          <w:szCs w:val="20"/>
        </w:rPr>
      </w:pPr>
      <w:r w:rsidRPr="770AA4E5">
        <w:rPr>
          <w:rFonts w:ascii="Arial" w:eastAsia="Arial" w:hAnsi="Arial" w:cs="Arial"/>
          <w:color w:val="212121"/>
          <w:sz w:val="20"/>
          <w:szCs w:val="20"/>
        </w:rPr>
        <w:t>Ontario auto rates and risk classification systems require that genders be recognized at point of quotation (Male, Female, Gender X).</w:t>
      </w:r>
    </w:p>
    <w:p w14:paraId="1086713C" w14:textId="752533BE" w:rsidR="6B3F51FF" w:rsidRDefault="6B3F51FF" w:rsidP="770AA4E5">
      <w:pPr>
        <w:pStyle w:val="ListParagraph"/>
        <w:numPr>
          <w:ilvl w:val="0"/>
          <w:numId w:val="2"/>
        </w:numPr>
        <w:rPr>
          <w:rFonts w:ascii="Arial" w:eastAsia="Arial" w:hAnsi="Arial" w:cs="Arial"/>
          <w:color w:val="212121"/>
          <w:sz w:val="20"/>
          <w:szCs w:val="20"/>
        </w:rPr>
      </w:pPr>
      <w:r w:rsidRPr="770AA4E5">
        <w:rPr>
          <w:rFonts w:ascii="Arial" w:eastAsia="Arial" w:hAnsi="Arial" w:cs="Arial"/>
          <w:color w:val="212121"/>
          <w:sz w:val="20"/>
          <w:szCs w:val="20"/>
        </w:rPr>
        <w:t xml:space="preserve">Since 2018, Ontario’s insurance industry has allowed motorists to identify as Gender X. </w:t>
      </w:r>
    </w:p>
    <w:p w14:paraId="68C87D93" w14:textId="5983B97B" w:rsidR="6B3F51FF" w:rsidRDefault="6B3F51FF" w:rsidP="112D7CE2">
      <w:pPr>
        <w:rPr>
          <w:rFonts w:ascii="Arial" w:eastAsia="Arial" w:hAnsi="Arial" w:cs="Arial"/>
          <w:color w:val="212121"/>
          <w:sz w:val="20"/>
          <w:szCs w:val="20"/>
        </w:rPr>
      </w:pPr>
      <w:r w:rsidRPr="112D7CE2">
        <w:rPr>
          <w:rFonts w:ascii="Arial" w:eastAsia="Arial" w:hAnsi="Arial" w:cs="Arial"/>
          <w:color w:val="212121"/>
          <w:sz w:val="20"/>
          <w:szCs w:val="20"/>
        </w:rPr>
        <w:t xml:space="preserve"> </w:t>
      </w:r>
    </w:p>
    <w:p w14:paraId="3E315772" w14:textId="05F8577B" w:rsidR="6B3F51FF" w:rsidRDefault="6B3F51FF" w:rsidP="112D7CE2">
      <w:pPr>
        <w:rPr>
          <w:rFonts w:ascii="Arial" w:eastAsia="Arial" w:hAnsi="Arial" w:cs="Arial"/>
          <w:color w:val="212121"/>
          <w:sz w:val="20"/>
          <w:szCs w:val="20"/>
        </w:rPr>
      </w:pPr>
      <w:r w:rsidRPr="112D7CE2">
        <w:rPr>
          <w:rFonts w:ascii="Arial" w:eastAsia="Arial" w:hAnsi="Arial" w:cs="Arial"/>
          <w:color w:val="212121"/>
          <w:sz w:val="20"/>
          <w:szCs w:val="20"/>
        </w:rPr>
        <w:t xml:space="preserve"> </w:t>
      </w:r>
    </w:p>
    <w:p w14:paraId="3C8807A2" w14:textId="02EC9828" w:rsidR="6B3F51FF" w:rsidRDefault="6B3F51FF" w:rsidP="112D7CE2">
      <w:pPr>
        <w:rPr>
          <w:rFonts w:ascii="Arial" w:eastAsia="Arial" w:hAnsi="Arial" w:cs="Arial"/>
          <w:b/>
          <w:bCs/>
          <w:color w:val="212121"/>
          <w:sz w:val="20"/>
          <w:szCs w:val="20"/>
        </w:rPr>
      </w:pPr>
      <w:r w:rsidRPr="112D7CE2">
        <w:rPr>
          <w:rFonts w:ascii="Arial" w:eastAsia="Arial" w:hAnsi="Arial" w:cs="Arial"/>
          <w:b/>
          <w:bCs/>
          <w:color w:val="212121"/>
          <w:sz w:val="20"/>
          <w:szCs w:val="20"/>
        </w:rPr>
        <w:t>Ontario Brokerage Observations:</w:t>
      </w:r>
    </w:p>
    <w:p w14:paraId="473955EF" w14:textId="57D9D8EB" w:rsidR="6B3F51FF" w:rsidRDefault="6B3F51FF" w:rsidP="770AA4E5">
      <w:pPr>
        <w:rPr>
          <w:rFonts w:ascii="Arial" w:eastAsia="Arial" w:hAnsi="Arial" w:cs="Arial"/>
          <w:b/>
          <w:bCs/>
          <w:color w:val="212121"/>
          <w:sz w:val="20"/>
          <w:szCs w:val="20"/>
        </w:rPr>
      </w:pPr>
      <w:r w:rsidRPr="770AA4E5">
        <w:rPr>
          <w:rFonts w:ascii="Arial" w:eastAsia="Arial" w:hAnsi="Arial" w:cs="Arial"/>
          <w:b/>
          <w:bCs/>
          <w:color w:val="212121"/>
          <w:sz w:val="20"/>
          <w:szCs w:val="20"/>
        </w:rPr>
        <w:t xml:space="preserve"> </w:t>
      </w:r>
    </w:p>
    <w:p w14:paraId="1D904028" w14:textId="4E9E4029" w:rsidR="6B3F51FF" w:rsidRDefault="6B3F51FF" w:rsidP="770AA4E5">
      <w:pPr>
        <w:rPr>
          <w:rFonts w:ascii="Arial" w:eastAsia="Arial" w:hAnsi="Arial" w:cs="Arial"/>
          <w:color w:val="212121"/>
          <w:sz w:val="20"/>
          <w:szCs w:val="20"/>
        </w:rPr>
      </w:pPr>
      <w:r w:rsidRPr="770AA4E5">
        <w:rPr>
          <w:rFonts w:ascii="Arial" w:eastAsia="Arial" w:hAnsi="Arial" w:cs="Arial"/>
          <w:color w:val="212121"/>
          <w:sz w:val="20"/>
          <w:szCs w:val="20"/>
        </w:rPr>
        <w:t>The IBAO DEI committee compared the experiences of the top 23 largest insurers auto insurers in Ontario distributing their auto products through insurance brokerages.</w:t>
      </w:r>
    </w:p>
    <w:p w14:paraId="7BF67B32" w14:textId="00CE61EC" w:rsidR="6B3F51FF" w:rsidRDefault="6B3F51FF" w:rsidP="770AA4E5">
      <w:pPr>
        <w:rPr>
          <w:rFonts w:ascii="Arial" w:eastAsia="Arial" w:hAnsi="Arial" w:cs="Arial"/>
          <w:color w:val="212121"/>
          <w:sz w:val="20"/>
          <w:szCs w:val="20"/>
        </w:rPr>
      </w:pPr>
      <w:r w:rsidRPr="770AA4E5">
        <w:rPr>
          <w:rFonts w:ascii="Arial" w:eastAsia="Arial" w:hAnsi="Arial" w:cs="Arial"/>
          <w:color w:val="212121"/>
          <w:sz w:val="20"/>
          <w:szCs w:val="20"/>
        </w:rPr>
        <w:t xml:space="preserve"> </w:t>
      </w:r>
    </w:p>
    <w:p w14:paraId="18B14C3B" w14:textId="209E8170" w:rsidR="6B3F51FF" w:rsidRDefault="6B3F51FF" w:rsidP="770AA4E5">
      <w:pPr>
        <w:pStyle w:val="ListParagraph"/>
        <w:numPr>
          <w:ilvl w:val="0"/>
          <w:numId w:val="3"/>
        </w:numPr>
        <w:rPr>
          <w:rFonts w:ascii="Arial" w:eastAsia="Arial" w:hAnsi="Arial" w:cs="Arial"/>
          <w:color w:val="212121"/>
          <w:sz w:val="20"/>
          <w:szCs w:val="20"/>
        </w:rPr>
      </w:pPr>
      <w:r w:rsidRPr="770AA4E5">
        <w:rPr>
          <w:rFonts w:ascii="Arial" w:eastAsia="Arial" w:hAnsi="Arial" w:cs="Arial"/>
          <w:color w:val="212121"/>
          <w:sz w:val="20"/>
          <w:szCs w:val="20"/>
        </w:rPr>
        <w:t xml:space="preserve">30% of the insurance companies offered “Gender X” as an option on their auto quoting portal. The others required brokers to use the “Female” option. </w:t>
      </w:r>
    </w:p>
    <w:p w14:paraId="151F7CC4" w14:textId="36860B12" w:rsidR="6B3F51FF" w:rsidRDefault="6B3F51FF" w:rsidP="770AA4E5">
      <w:pPr>
        <w:pStyle w:val="ListParagraph"/>
        <w:numPr>
          <w:ilvl w:val="0"/>
          <w:numId w:val="3"/>
        </w:numPr>
        <w:rPr>
          <w:rFonts w:ascii="Arial" w:eastAsia="Arial" w:hAnsi="Arial" w:cs="Arial"/>
          <w:color w:val="212121"/>
          <w:sz w:val="20"/>
          <w:szCs w:val="20"/>
        </w:rPr>
      </w:pPr>
      <w:r w:rsidRPr="770AA4E5">
        <w:rPr>
          <w:rFonts w:ascii="Arial" w:eastAsia="Arial" w:hAnsi="Arial" w:cs="Arial"/>
          <w:color w:val="212121"/>
          <w:sz w:val="20"/>
          <w:szCs w:val="20"/>
        </w:rPr>
        <w:t xml:space="preserve">One insurer used gender pronouns on the client facing auto policy documents. This means that if the consumer told the broker that they were “Gender X”, they would have received their policy documents that indicated that they were “Female”. </w:t>
      </w:r>
    </w:p>
    <w:p w14:paraId="61133281" w14:textId="4215CB26" w:rsidR="6B3F51FF" w:rsidRDefault="6B3F51FF" w:rsidP="770AA4E5">
      <w:pPr>
        <w:pStyle w:val="ListParagraph"/>
        <w:numPr>
          <w:ilvl w:val="0"/>
          <w:numId w:val="3"/>
        </w:numPr>
        <w:rPr>
          <w:rFonts w:ascii="Arial" w:eastAsia="Arial" w:hAnsi="Arial" w:cs="Arial"/>
          <w:color w:val="212121"/>
          <w:sz w:val="20"/>
          <w:szCs w:val="20"/>
        </w:rPr>
      </w:pPr>
      <w:r w:rsidRPr="770AA4E5">
        <w:rPr>
          <w:rFonts w:ascii="Arial" w:eastAsia="Arial" w:hAnsi="Arial" w:cs="Arial"/>
          <w:color w:val="212121"/>
          <w:sz w:val="20"/>
          <w:szCs w:val="20"/>
        </w:rPr>
        <w:t>Three insurers use gender pronouns in their underwriting manuals and there is no they/them option which should be considered when rewriting their manuals.</w:t>
      </w:r>
    </w:p>
    <w:p w14:paraId="6A9CDD62" w14:textId="45E2FDB0" w:rsidR="6B3F51FF" w:rsidRDefault="6B3F51FF" w:rsidP="112D7CE2">
      <w:pPr>
        <w:rPr>
          <w:rFonts w:ascii="Arial" w:eastAsia="Arial" w:hAnsi="Arial" w:cs="Arial"/>
          <w:b/>
          <w:bCs/>
          <w:color w:val="212121"/>
          <w:sz w:val="20"/>
          <w:szCs w:val="20"/>
        </w:rPr>
      </w:pPr>
      <w:r w:rsidRPr="112D7CE2">
        <w:rPr>
          <w:rFonts w:ascii="Arial" w:eastAsia="Arial" w:hAnsi="Arial" w:cs="Arial"/>
          <w:b/>
          <w:bCs/>
          <w:color w:val="212121"/>
          <w:sz w:val="20"/>
          <w:szCs w:val="20"/>
        </w:rPr>
        <w:t xml:space="preserve"> </w:t>
      </w:r>
    </w:p>
    <w:p w14:paraId="374DD4A1" w14:textId="14D70C3B" w:rsidR="6B3F51FF" w:rsidRDefault="6B3F51FF" w:rsidP="112D7CE2">
      <w:pPr>
        <w:rPr>
          <w:rFonts w:ascii="Arial" w:eastAsia="Arial" w:hAnsi="Arial" w:cs="Arial"/>
          <w:b/>
          <w:bCs/>
          <w:color w:val="212121"/>
          <w:sz w:val="20"/>
          <w:szCs w:val="20"/>
        </w:rPr>
      </w:pPr>
      <w:r w:rsidRPr="112D7CE2">
        <w:rPr>
          <w:rFonts w:ascii="Arial" w:eastAsia="Arial" w:hAnsi="Arial" w:cs="Arial"/>
          <w:b/>
          <w:bCs/>
          <w:color w:val="212121"/>
          <w:sz w:val="20"/>
          <w:szCs w:val="20"/>
        </w:rPr>
        <w:t>Proposed Actions &amp; Next Steps:</w:t>
      </w:r>
    </w:p>
    <w:p w14:paraId="5B1355E1" w14:textId="4A3132C2" w:rsidR="6B3F51FF" w:rsidRDefault="6B3F51FF" w:rsidP="112D7CE2">
      <w:pPr>
        <w:rPr>
          <w:rFonts w:ascii="Arial" w:eastAsia="Arial" w:hAnsi="Arial" w:cs="Arial"/>
          <w:color w:val="212121"/>
          <w:sz w:val="20"/>
          <w:szCs w:val="20"/>
        </w:rPr>
      </w:pPr>
      <w:r w:rsidRPr="112D7CE2">
        <w:rPr>
          <w:rFonts w:ascii="Arial" w:eastAsia="Arial" w:hAnsi="Arial" w:cs="Arial"/>
          <w:color w:val="212121"/>
          <w:sz w:val="20"/>
          <w:szCs w:val="20"/>
        </w:rPr>
        <w:t xml:space="preserve"> </w:t>
      </w:r>
    </w:p>
    <w:p w14:paraId="6CDE0FAB" w14:textId="5CD989AA" w:rsidR="6B3F51FF" w:rsidRDefault="6B3F51FF" w:rsidP="112D7CE2">
      <w:pPr>
        <w:rPr>
          <w:rFonts w:ascii="Arial" w:eastAsia="Arial" w:hAnsi="Arial" w:cs="Arial"/>
          <w:color w:val="212121"/>
          <w:sz w:val="20"/>
          <w:szCs w:val="20"/>
        </w:rPr>
      </w:pPr>
      <w:r w:rsidRPr="112D7CE2">
        <w:rPr>
          <w:rFonts w:ascii="Arial" w:eastAsia="Arial" w:hAnsi="Arial" w:cs="Arial"/>
          <w:color w:val="212121"/>
          <w:sz w:val="20"/>
          <w:szCs w:val="20"/>
        </w:rPr>
        <w:t xml:space="preserve">From a public policy perspective, we seek to work with the industry in a joint advocacy effort and inquire with MTO on how they ensure that gender markers are linked for the same individual (if there is a gender change) on all consumer profiles. Market evidence would indicate that reliving the gender transformation narrative can be very stressful for certain individuals when trying to explain their driving history during the insurance shopping process. </w:t>
      </w:r>
    </w:p>
    <w:p w14:paraId="62F8D289" w14:textId="64784B51" w:rsidR="6B3F51FF" w:rsidRDefault="6B3F51FF" w:rsidP="112D7CE2">
      <w:pPr>
        <w:rPr>
          <w:rFonts w:ascii="Arial" w:eastAsia="Arial" w:hAnsi="Arial" w:cs="Arial"/>
          <w:color w:val="212121"/>
          <w:sz w:val="20"/>
          <w:szCs w:val="20"/>
        </w:rPr>
      </w:pPr>
      <w:r w:rsidRPr="112D7CE2">
        <w:rPr>
          <w:rFonts w:ascii="Arial" w:eastAsia="Arial" w:hAnsi="Arial" w:cs="Arial"/>
          <w:color w:val="212121"/>
          <w:sz w:val="20"/>
          <w:szCs w:val="20"/>
        </w:rPr>
        <w:t xml:space="preserve"> </w:t>
      </w:r>
    </w:p>
    <w:p w14:paraId="63D89A17" w14:textId="41213495" w:rsidR="6B3F51FF" w:rsidRDefault="6B3F51FF" w:rsidP="112D7CE2">
      <w:pPr>
        <w:rPr>
          <w:rFonts w:ascii="Arial" w:eastAsia="Arial" w:hAnsi="Arial" w:cs="Arial"/>
          <w:color w:val="212121"/>
          <w:sz w:val="20"/>
          <w:szCs w:val="20"/>
        </w:rPr>
      </w:pPr>
      <w:r w:rsidRPr="112D7CE2">
        <w:rPr>
          <w:rFonts w:ascii="Arial" w:eastAsia="Arial" w:hAnsi="Arial" w:cs="Arial"/>
          <w:color w:val="212121"/>
          <w:sz w:val="20"/>
          <w:szCs w:val="20"/>
        </w:rPr>
        <w:t xml:space="preserve">We view FSRA as an efficient access point to have important conversations.  </w:t>
      </w:r>
    </w:p>
    <w:p w14:paraId="3A40DD48" w14:textId="46E9AB28" w:rsidR="6B3F51FF" w:rsidRDefault="6B3F51FF" w:rsidP="112D7CE2">
      <w:pPr>
        <w:rPr>
          <w:rFonts w:ascii="Arial" w:eastAsia="Arial" w:hAnsi="Arial" w:cs="Arial"/>
          <w:color w:val="212121"/>
          <w:sz w:val="20"/>
          <w:szCs w:val="20"/>
        </w:rPr>
      </w:pPr>
      <w:r w:rsidRPr="112D7CE2">
        <w:rPr>
          <w:rFonts w:ascii="Arial" w:eastAsia="Arial" w:hAnsi="Arial" w:cs="Arial"/>
          <w:color w:val="212121"/>
          <w:sz w:val="20"/>
          <w:szCs w:val="20"/>
        </w:rPr>
        <w:t xml:space="preserve"> </w:t>
      </w:r>
    </w:p>
    <w:p w14:paraId="7AB19CC6" w14:textId="361D905E" w:rsidR="6B3F51FF" w:rsidRDefault="6B3F51FF" w:rsidP="112D7CE2">
      <w:pPr>
        <w:pStyle w:val="ListParagraph"/>
        <w:numPr>
          <w:ilvl w:val="0"/>
          <w:numId w:val="3"/>
        </w:numPr>
        <w:rPr>
          <w:rFonts w:ascii="Arial" w:eastAsia="Arial" w:hAnsi="Arial" w:cs="Arial"/>
          <w:color w:val="212121"/>
          <w:sz w:val="20"/>
          <w:szCs w:val="20"/>
        </w:rPr>
      </w:pPr>
      <w:r w:rsidRPr="112D7CE2">
        <w:rPr>
          <w:rFonts w:ascii="Arial" w:eastAsia="Arial" w:hAnsi="Arial" w:cs="Arial"/>
          <w:color w:val="212121"/>
          <w:sz w:val="20"/>
          <w:szCs w:val="20"/>
        </w:rPr>
        <w:t>We encourage all insurers to have Gender X as an option on their auto quoting portal. Even if there is not enough historical data to justify a delta in the auto rate for this class, historical data cannot be measured in the future unless it is collected now.</w:t>
      </w:r>
    </w:p>
    <w:p w14:paraId="44B3A947" w14:textId="4DFE2E5D" w:rsidR="6B3F51FF" w:rsidRDefault="6B3F51FF" w:rsidP="112D7CE2">
      <w:pPr>
        <w:pStyle w:val="ListParagraph"/>
        <w:numPr>
          <w:ilvl w:val="0"/>
          <w:numId w:val="3"/>
        </w:numPr>
        <w:rPr>
          <w:rFonts w:ascii="Arial" w:eastAsia="Arial" w:hAnsi="Arial" w:cs="Arial"/>
          <w:color w:val="212121"/>
          <w:sz w:val="20"/>
          <w:szCs w:val="20"/>
        </w:rPr>
      </w:pPr>
      <w:r w:rsidRPr="112D7CE2">
        <w:rPr>
          <w:rFonts w:ascii="Arial" w:eastAsia="Arial" w:hAnsi="Arial" w:cs="Arial"/>
          <w:color w:val="212121"/>
          <w:sz w:val="20"/>
          <w:szCs w:val="20"/>
        </w:rPr>
        <w:t>Client facing policy documents should reflect the gender pronouns and markers as presented to the broker at the point of sale.</w:t>
      </w:r>
    </w:p>
    <w:p w14:paraId="13D35E82" w14:textId="32BDB093" w:rsidR="6B3F51FF" w:rsidRDefault="6B3F51FF" w:rsidP="112D7CE2">
      <w:pPr>
        <w:pStyle w:val="ListParagraph"/>
        <w:numPr>
          <w:ilvl w:val="0"/>
          <w:numId w:val="3"/>
        </w:numPr>
        <w:rPr>
          <w:rFonts w:ascii="Arial" w:eastAsia="Arial" w:hAnsi="Arial" w:cs="Arial"/>
          <w:color w:val="212121"/>
          <w:sz w:val="20"/>
          <w:szCs w:val="20"/>
        </w:rPr>
      </w:pPr>
      <w:r w:rsidRPr="112D7CE2">
        <w:rPr>
          <w:rFonts w:ascii="Arial" w:eastAsia="Arial" w:hAnsi="Arial" w:cs="Arial"/>
          <w:color w:val="212121"/>
          <w:sz w:val="20"/>
          <w:szCs w:val="20"/>
        </w:rPr>
        <w:t xml:space="preserve">We recommend that insurers evolve away from using gender pronouns in underwriting </w:t>
      </w:r>
      <w:proofErr w:type="gramStart"/>
      <w:r w:rsidRPr="112D7CE2">
        <w:rPr>
          <w:rFonts w:ascii="Arial" w:eastAsia="Arial" w:hAnsi="Arial" w:cs="Arial"/>
          <w:color w:val="212121"/>
          <w:sz w:val="20"/>
          <w:szCs w:val="20"/>
        </w:rPr>
        <w:t>manuals</w:t>
      </w:r>
      <w:proofErr w:type="gramEnd"/>
    </w:p>
    <w:p w14:paraId="65FD73F3" w14:textId="31FFF4AC" w:rsidR="6B3F51FF" w:rsidRDefault="6B3F51FF" w:rsidP="112D7CE2">
      <w:pPr>
        <w:rPr>
          <w:rFonts w:ascii="Arial" w:eastAsia="Arial" w:hAnsi="Arial" w:cs="Arial"/>
          <w:b/>
          <w:bCs/>
          <w:color w:val="212121"/>
          <w:sz w:val="20"/>
          <w:szCs w:val="20"/>
        </w:rPr>
      </w:pPr>
      <w:r w:rsidRPr="770AA4E5">
        <w:rPr>
          <w:rFonts w:ascii="Arial" w:eastAsia="Arial" w:hAnsi="Arial" w:cs="Arial"/>
          <w:b/>
          <w:bCs/>
          <w:color w:val="212121"/>
          <w:sz w:val="20"/>
          <w:szCs w:val="20"/>
        </w:rPr>
        <w:t xml:space="preserve"> </w:t>
      </w:r>
    </w:p>
    <w:p w14:paraId="5844304E" w14:textId="3FE9B691" w:rsidR="7D99419F" w:rsidRDefault="7D99419F" w:rsidP="770AA4E5">
      <w:pPr>
        <w:rPr>
          <w:rFonts w:ascii="Arial" w:eastAsia="Arial" w:hAnsi="Arial" w:cs="Arial"/>
          <w:b/>
          <w:bCs/>
          <w:color w:val="212121"/>
          <w:sz w:val="20"/>
          <w:szCs w:val="20"/>
        </w:rPr>
      </w:pPr>
      <w:r w:rsidRPr="770AA4E5">
        <w:rPr>
          <w:rFonts w:eastAsiaTheme="minorEastAsia"/>
          <w:b/>
          <w:bCs/>
          <w:color w:val="212121"/>
          <w:sz w:val="20"/>
          <w:szCs w:val="20"/>
        </w:rPr>
        <w:t xml:space="preserve">What additional information, (such as leading practices, tools, opportunities or risks) should FSRA be considering </w:t>
      </w:r>
      <w:proofErr w:type="gramStart"/>
      <w:r w:rsidRPr="770AA4E5">
        <w:rPr>
          <w:rFonts w:eastAsiaTheme="minorEastAsia"/>
          <w:b/>
          <w:bCs/>
          <w:color w:val="212121"/>
          <w:sz w:val="20"/>
          <w:szCs w:val="20"/>
        </w:rPr>
        <w:t>to inform</w:t>
      </w:r>
      <w:proofErr w:type="gramEnd"/>
      <w:r w:rsidRPr="770AA4E5">
        <w:rPr>
          <w:rFonts w:eastAsiaTheme="minorEastAsia"/>
          <w:b/>
          <w:bCs/>
          <w:color w:val="212121"/>
          <w:sz w:val="20"/>
          <w:szCs w:val="20"/>
        </w:rPr>
        <w:t xml:space="preserve"> its approach?</w:t>
      </w:r>
    </w:p>
    <w:p w14:paraId="2F43DB0C" w14:textId="4919289B" w:rsidR="770AA4E5" w:rsidRDefault="770AA4E5" w:rsidP="770AA4E5">
      <w:pPr>
        <w:rPr>
          <w:rFonts w:eastAsiaTheme="minorEastAsia"/>
          <w:b/>
          <w:bCs/>
          <w:color w:val="212121"/>
          <w:sz w:val="20"/>
          <w:szCs w:val="20"/>
        </w:rPr>
      </w:pPr>
    </w:p>
    <w:p w14:paraId="74D75A53" w14:textId="1FE2BD7D" w:rsidR="7D99419F" w:rsidRDefault="7D99419F" w:rsidP="770AA4E5">
      <w:pPr>
        <w:pStyle w:val="ListParagraph"/>
        <w:numPr>
          <w:ilvl w:val="0"/>
          <w:numId w:val="1"/>
        </w:numPr>
        <w:rPr>
          <w:rFonts w:eastAsiaTheme="minorEastAsia"/>
          <w:color w:val="212121"/>
          <w:sz w:val="20"/>
          <w:szCs w:val="20"/>
        </w:rPr>
      </w:pPr>
      <w:r w:rsidRPr="770AA4E5">
        <w:rPr>
          <w:rFonts w:eastAsiaTheme="minorEastAsia"/>
          <w:color w:val="212121"/>
          <w:sz w:val="20"/>
          <w:szCs w:val="20"/>
        </w:rPr>
        <w:t>IBAO would be happy to work with you to share examples of our observations. We have created a “scorecard” which has tracked these observations</w:t>
      </w:r>
      <w:r w:rsidR="657D455B" w:rsidRPr="770AA4E5">
        <w:rPr>
          <w:rFonts w:eastAsiaTheme="minorEastAsia"/>
          <w:color w:val="212121"/>
          <w:sz w:val="20"/>
          <w:szCs w:val="20"/>
        </w:rPr>
        <w:t xml:space="preserve"> across a variety of insurance carriers</w:t>
      </w:r>
      <w:r w:rsidRPr="770AA4E5">
        <w:rPr>
          <w:rFonts w:eastAsiaTheme="minorEastAsia"/>
          <w:color w:val="212121"/>
          <w:sz w:val="20"/>
          <w:szCs w:val="20"/>
        </w:rPr>
        <w:t>.</w:t>
      </w:r>
    </w:p>
    <w:p w14:paraId="67946C21" w14:textId="0FC75CD1" w:rsidR="770AA4E5" w:rsidRDefault="770AA4E5" w:rsidP="770AA4E5">
      <w:pPr>
        <w:rPr>
          <w:rFonts w:ascii="Arial" w:eastAsia="Times New Roman" w:hAnsi="Arial" w:cs="Arial"/>
          <w:color w:val="000000" w:themeColor="text1"/>
          <w:sz w:val="20"/>
          <w:szCs w:val="20"/>
          <w:highlight w:val="yellow"/>
        </w:rPr>
      </w:pPr>
    </w:p>
    <w:p w14:paraId="3CF58EDD" w14:textId="3FD822CF" w:rsidR="6B3F51FF" w:rsidRDefault="6B3F51FF" w:rsidP="112D7CE2">
      <w:pPr>
        <w:rPr>
          <w:rFonts w:ascii="Arial" w:eastAsia="Arial" w:hAnsi="Arial" w:cs="Arial"/>
          <w:b/>
          <w:bCs/>
          <w:color w:val="212121"/>
          <w:sz w:val="20"/>
          <w:szCs w:val="20"/>
        </w:rPr>
      </w:pPr>
      <w:r w:rsidRPr="112D7CE2">
        <w:rPr>
          <w:rFonts w:ascii="Arial" w:eastAsia="Arial" w:hAnsi="Arial" w:cs="Arial"/>
          <w:b/>
          <w:bCs/>
          <w:color w:val="212121"/>
          <w:sz w:val="20"/>
          <w:szCs w:val="20"/>
        </w:rPr>
        <w:t>Conclusion:</w:t>
      </w:r>
    </w:p>
    <w:p w14:paraId="0EB01684" w14:textId="7468A09F" w:rsidR="6B3F51FF" w:rsidRDefault="6B3F51FF" w:rsidP="112D7CE2">
      <w:pPr>
        <w:rPr>
          <w:rFonts w:ascii="Arial" w:eastAsia="Arial" w:hAnsi="Arial" w:cs="Arial"/>
          <w:b/>
          <w:bCs/>
          <w:color w:val="212121"/>
          <w:sz w:val="20"/>
          <w:szCs w:val="20"/>
        </w:rPr>
      </w:pPr>
      <w:r w:rsidRPr="112D7CE2">
        <w:rPr>
          <w:rFonts w:ascii="Arial" w:eastAsia="Arial" w:hAnsi="Arial" w:cs="Arial"/>
          <w:b/>
          <w:bCs/>
          <w:color w:val="212121"/>
          <w:sz w:val="20"/>
          <w:szCs w:val="20"/>
        </w:rPr>
        <w:t xml:space="preserve"> </w:t>
      </w:r>
    </w:p>
    <w:p w14:paraId="66E0C99A" w14:textId="794AE642" w:rsidR="6B3F51FF" w:rsidRDefault="6B3F51FF" w:rsidP="770AA4E5">
      <w:pPr>
        <w:rPr>
          <w:rFonts w:ascii="Arial" w:eastAsia="Arial" w:hAnsi="Arial" w:cs="Arial"/>
          <w:color w:val="212121"/>
          <w:sz w:val="20"/>
          <w:szCs w:val="20"/>
        </w:rPr>
      </w:pPr>
      <w:r w:rsidRPr="770AA4E5">
        <w:rPr>
          <w:rFonts w:ascii="Arial" w:eastAsia="Arial" w:hAnsi="Arial" w:cs="Arial"/>
          <w:color w:val="212121"/>
          <w:sz w:val="20"/>
          <w:szCs w:val="20"/>
        </w:rPr>
        <w:lastRenderedPageBreak/>
        <w:t>Over time, the acceptance and understanding of gender and sexual diversity has evolved.  Younger generations will be more comfortable reporting their gender identity than older generations and they will expect that their insurance companies respond accordingly.</w:t>
      </w:r>
      <w:r w:rsidR="10EBBBED" w:rsidRPr="770AA4E5">
        <w:rPr>
          <w:rFonts w:ascii="Arial" w:eastAsia="Arial" w:hAnsi="Arial" w:cs="Arial"/>
          <w:color w:val="212121"/>
          <w:sz w:val="20"/>
          <w:szCs w:val="20"/>
        </w:rPr>
        <w:t xml:space="preserve"> </w:t>
      </w:r>
    </w:p>
    <w:p w14:paraId="0C98242F" w14:textId="5C38CCF7" w:rsidR="00A14521" w:rsidRPr="004E1C30" w:rsidRDefault="00A14521" w:rsidP="770AA4E5">
      <w:pPr>
        <w:rPr>
          <w:rFonts w:ascii="Arial" w:eastAsia="Arial" w:hAnsi="Arial" w:cs="Arial"/>
          <w:color w:val="212121"/>
          <w:sz w:val="20"/>
          <w:szCs w:val="20"/>
        </w:rPr>
      </w:pPr>
    </w:p>
    <w:p w14:paraId="67C64648" w14:textId="0E7DE211" w:rsidR="00A14521" w:rsidRPr="004E1C30" w:rsidRDefault="10EBBBED" w:rsidP="770AA4E5">
      <w:pPr>
        <w:spacing w:line="259" w:lineRule="auto"/>
        <w:rPr>
          <w:rFonts w:ascii="Arial" w:eastAsia="Arial" w:hAnsi="Arial" w:cs="Arial"/>
          <w:color w:val="212121"/>
          <w:sz w:val="20"/>
          <w:szCs w:val="20"/>
        </w:rPr>
      </w:pPr>
      <w:r w:rsidRPr="770AA4E5">
        <w:rPr>
          <w:rFonts w:ascii="Arial" w:eastAsia="Arial" w:hAnsi="Arial" w:cs="Arial"/>
          <w:color w:val="212121"/>
          <w:sz w:val="20"/>
          <w:szCs w:val="20"/>
        </w:rPr>
        <w:t>Thank you for your consideration and we look forward to future collaboration.  M</w:t>
      </w:r>
      <w:r w:rsidR="3CB41FD9" w:rsidRPr="770AA4E5">
        <w:rPr>
          <w:rFonts w:ascii="Arial" w:eastAsia="Arial" w:hAnsi="Arial" w:cs="Arial"/>
          <w:color w:val="212121"/>
          <w:sz w:val="20"/>
          <w:szCs w:val="20"/>
        </w:rPr>
        <w:t xml:space="preserve">embers of the IBAO DEI Committee and I would be happy to join you on a call should you have further questions. </w:t>
      </w:r>
    </w:p>
    <w:p w14:paraId="18713E5D" w14:textId="5E8F762D" w:rsidR="00A14521" w:rsidRPr="004E1C30" w:rsidRDefault="00A14521" w:rsidP="770AA4E5">
      <w:pPr>
        <w:spacing w:line="259" w:lineRule="auto"/>
        <w:rPr>
          <w:rFonts w:ascii="Arial" w:eastAsia="Arial" w:hAnsi="Arial" w:cs="Arial"/>
          <w:color w:val="212121"/>
          <w:sz w:val="20"/>
          <w:szCs w:val="20"/>
        </w:rPr>
      </w:pPr>
    </w:p>
    <w:p w14:paraId="532E3880" w14:textId="3D27965B" w:rsidR="00A14521" w:rsidRPr="004E1C30" w:rsidRDefault="3CB41FD9" w:rsidP="770AA4E5">
      <w:pPr>
        <w:spacing w:line="259" w:lineRule="auto"/>
      </w:pPr>
      <w:r w:rsidRPr="770AA4E5">
        <w:rPr>
          <w:rFonts w:ascii="Arial" w:eastAsia="Arial" w:hAnsi="Arial" w:cs="Arial"/>
          <w:color w:val="212121"/>
          <w:sz w:val="20"/>
          <w:szCs w:val="20"/>
        </w:rPr>
        <w:t xml:space="preserve">Regards, </w:t>
      </w:r>
    </w:p>
    <w:p w14:paraId="72BD23BE" w14:textId="65E1E299" w:rsidR="00A14521" w:rsidRPr="004E1C30" w:rsidRDefault="00A14521" w:rsidP="770AA4E5">
      <w:pPr>
        <w:spacing w:line="259" w:lineRule="auto"/>
        <w:rPr>
          <w:rFonts w:ascii="Arial" w:eastAsia="Arial" w:hAnsi="Arial" w:cs="Arial"/>
          <w:color w:val="212121"/>
          <w:sz w:val="20"/>
          <w:szCs w:val="20"/>
        </w:rPr>
      </w:pPr>
    </w:p>
    <w:p w14:paraId="1B0815FA" w14:textId="782E642C" w:rsidR="00A14521" w:rsidRPr="004E1C30" w:rsidRDefault="00A14521" w:rsidP="770AA4E5">
      <w:pPr>
        <w:ind w:left="-20" w:right="-20"/>
        <w:rPr>
          <w:rFonts w:ascii="Arial" w:eastAsia="Arial" w:hAnsi="Arial" w:cs="Arial"/>
          <w:color w:val="000000" w:themeColor="text1"/>
          <w:sz w:val="18"/>
          <w:szCs w:val="18"/>
        </w:rPr>
      </w:pPr>
    </w:p>
    <w:p w14:paraId="1DE1424F" w14:textId="2E827D1C" w:rsidR="00A14521" w:rsidRPr="004E1C30" w:rsidRDefault="3CB41FD9" w:rsidP="770AA4E5">
      <w:pPr>
        <w:ind w:left="-20" w:right="-20"/>
        <w:rPr>
          <w:rFonts w:ascii="Arial" w:eastAsia="Arial" w:hAnsi="Arial" w:cs="Arial"/>
          <w:color w:val="000000" w:themeColor="text1"/>
          <w:sz w:val="18"/>
          <w:szCs w:val="18"/>
        </w:rPr>
      </w:pPr>
      <w:r w:rsidRPr="770AA4E5">
        <w:rPr>
          <w:rFonts w:ascii="Arial" w:eastAsia="Arial" w:hAnsi="Arial" w:cs="Arial"/>
          <w:color w:val="000000" w:themeColor="text1"/>
          <w:sz w:val="18"/>
          <w:szCs w:val="18"/>
        </w:rPr>
        <w:t>Brett Boadway</w:t>
      </w:r>
    </w:p>
    <w:p w14:paraId="3F7F0148" w14:textId="588526DD" w:rsidR="00A14521" w:rsidRPr="004E1C30" w:rsidRDefault="00A14521" w:rsidP="770AA4E5">
      <w:pPr>
        <w:ind w:left="-20" w:right="-20"/>
        <w:rPr>
          <w:rFonts w:ascii="Arial" w:eastAsia="Arial" w:hAnsi="Arial" w:cs="Arial"/>
          <w:color w:val="000000" w:themeColor="text1"/>
          <w:sz w:val="18"/>
          <w:szCs w:val="18"/>
        </w:rPr>
      </w:pPr>
    </w:p>
    <w:p w14:paraId="66997BB8" w14:textId="36C55C62" w:rsidR="00A14521" w:rsidRPr="004E1C30" w:rsidRDefault="3CB41FD9" w:rsidP="770AA4E5">
      <w:pPr>
        <w:ind w:left="-20" w:right="-20"/>
      </w:pPr>
      <w:r w:rsidRPr="770AA4E5">
        <w:rPr>
          <w:rFonts w:ascii="Arial" w:eastAsia="Arial" w:hAnsi="Arial" w:cs="Arial"/>
          <w:color w:val="000000" w:themeColor="text1"/>
          <w:sz w:val="18"/>
          <w:szCs w:val="18"/>
        </w:rPr>
        <w:t>Chief Operating Officer</w:t>
      </w:r>
    </w:p>
    <w:p w14:paraId="3B79348E" w14:textId="06576D73" w:rsidR="00A14521" w:rsidRPr="004E1C30" w:rsidRDefault="3CB41FD9" w:rsidP="770AA4E5">
      <w:pPr>
        <w:ind w:left="-20" w:right="-20"/>
      </w:pPr>
      <w:r w:rsidRPr="770AA4E5">
        <w:rPr>
          <w:rFonts w:ascii="Arial" w:eastAsia="Arial" w:hAnsi="Arial" w:cs="Arial"/>
          <w:color w:val="404040" w:themeColor="text1" w:themeTint="BF"/>
          <w:sz w:val="18"/>
          <w:szCs w:val="18"/>
        </w:rPr>
        <w:t xml:space="preserve"> </w:t>
      </w:r>
    </w:p>
    <w:p w14:paraId="110274ED" w14:textId="6DA07056" w:rsidR="00A14521" w:rsidRPr="004E1C30" w:rsidRDefault="3CB41FD9" w:rsidP="770AA4E5">
      <w:pPr>
        <w:ind w:left="-20" w:right="-20"/>
      </w:pPr>
      <w:r>
        <w:rPr>
          <w:noProof/>
        </w:rPr>
        <w:drawing>
          <wp:inline distT="0" distB="0" distL="0" distR="0" wp14:anchorId="2F802F49" wp14:editId="7B248786">
            <wp:extent cx="1438275" cy="723900"/>
            <wp:effectExtent l="0" t="0" r="0" b="0"/>
            <wp:docPr id="727267174" name="Picture 727267174" descr="id:image001.png@01D4C840.32C43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438275" cy="723900"/>
                    </a:xfrm>
                    <a:prstGeom prst="rect">
                      <a:avLst/>
                    </a:prstGeom>
                  </pic:spPr>
                </pic:pic>
              </a:graphicData>
            </a:graphic>
          </wp:inline>
        </w:drawing>
      </w:r>
    </w:p>
    <w:p w14:paraId="386A483A" w14:textId="39A45BEA" w:rsidR="00A14521" w:rsidRPr="004E1C30" w:rsidRDefault="3CB41FD9" w:rsidP="770AA4E5">
      <w:pPr>
        <w:ind w:left="-20" w:right="-20"/>
      </w:pPr>
      <w:r w:rsidRPr="770AA4E5">
        <w:rPr>
          <w:rFonts w:ascii="Arial" w:eastAsia="Arial" w:hAnsi="Arial" w:cs="Arial"/>
          <w:color w:val="2C2F33"/>
          <w:sz w:val="18"/>
          <w:szCs w:val="18"/>
        </w:rPr>
        <w:t>Insurance Brokers Association of Ontario</w:t>
      </w:r>
    </w:p>
    <w:p w14:paraId="3475ECD4" w14:textId="2EC8B2E0" w:rsidR="00A14521" w:rsidRPr="004E1C30" w:rsidRDefault="3CB41FD9" w:rsidP="770AA4E5">
      <w:pPr>
        <w:ind w:left="-20" w:right="-20"/>
      </w:pPr>
      <w:r w:rsidRPr="770AA4E5">
        <w:rPr>
          <w:rFonts w:ascii="Arial" w:eastAsia="Arial" w:hAnsi="Arial" w:cs="Arial"/>
          <w:color w:val="2C2F33"/>
          <w:sz w:val="18"/>
          <w:szCs w:val="18"/>
        </w:rPr>
        <w:t>416 488 7422 x127 | 800 268 8845</w:t>
      </w:r>
    </w:p>
    <w:p w14:paraId="127A6FE2" w14:textId="6EF78C5F" w:rsidR="00A14521" w:rsidRPr="004E1C30" w:rsidRDefault="3CB41FD9" w:rsidP="770AA4E5">
      <w:pPr>
        <w:ind w:left="-20" w:right="-20"/>
      </w:pPr>
      <w:r w:rsidRPr="770AA4E5">
        <w:rPr>
          <w:rFonts w:ascii="Arial" w:eastAsia="Arial" w:hAnsi="Arial" w:cs="Arial"/>
          <w:color w:val="2C2F33"/>
          <w:sz w:val="18"/>
          <w:szCs w:val="18"/>
        </w:rPr>
        <w:t>700-1 Eglinton Avenue East, Toronto, ON M4P 3A1</w:t>
      </w:r>
      <w:r w:rsidRPr="770AA4E5">
        <w:rPr>
          <w:rFonts w:ascii="MS Mincho" w:eastAsia="MS Mincho" w:hAnsi="MS Mincho" w:cs="MS Mincho"/>
          <w:color w:val="2C2F33"/>
          <w:sz w:val="18"/>
          <w:szCs w:val="18"/>
        </w:rPr>
        <w:t> </w:t>
      </w:r>
    </w:p>
    <w:p w14:paraId="6D164C85" w14:textId="63E2CF8A" w:rsidR="00A14521" w:rsidRPr="004E1C30" w:rsidRDefault="00000000" w:rsidP="770AA4E5">
      <w:pPr>
        <w:ind w:left="-20" w:right="-20"/>
      </w:pPr>
      <w:hyperlink r:id="rId8">
        <w:r w:rsidR="3CB41FD9" w:rsidRPr="770AA4E5">
          <w:rPr>
            <w:rStyle w:val="Hyperlink"/>
            <w:rFonts w:ascii="Arial" w:eastAsia="Arial" w:hAnsi="Arial" w:cs="Arial"/>
            <w:color w:val="8F297B"/>
            <w:sz w:val="18"/>
            <w:szCs w:val="18"/>
          </w:rPr>
          <w:t>www.ibao.org</w:t>
        </w:r>
      </w:hyperlink>
      <w:r w:rsidR="3CB41FD9" w:rsidRPr="770AA4E5">
        <w:rPr>
          <w:rFonts w:ascii="Arial" w:eastAsia="Arial" w:hAnsi="Arial" w:cs="Arial"/>
          <w:color w:val="2C2F33"/>
          <w:sz w:val="18"/>
          <w:szCs w:val="18"/>
        </w:rPr>
        <w:t xml:space="preserve"> | </w:t>
      </w:r>
      <w:hyperlink r:id="rId9">
        <w:r w:rsidR="3CB41FD9" w:rsidRPr="770AA4E5">
          <w:rPr>
            <w:rStyle w:val="Hyperlink"/>
            <w:rFonts w:ascii="Arial" w:eastAsia="Arial" w:hAnsi="Arial" w:cs="Arial"/>
            <w:color w:val="8F297B"/>
            <w:sz w:val="18"/>
            <w:szCs w:val="18"/>
          </w:rPr>
          <w:t>@IBAOntario</w:t>
        </w:r>
      </w:hyperlink>
    </w:p>
    <w:p w14:paraId="23E1C861" w14:textId="15225B0D" w:rsidR="00A14521" w:rsidRPr="004E1C30" w:rsidRDefault="00000000" w:rsidP="770AA4E5">
      <w:pPr>
        <w:ind w:left="-20" w:right="-20"/>
        <w:rPr>
          <w:rFonts w:ascii="Arial" w:eastAsia="Arial" w:hAnsi="Arial" w:cs="Arial"/>
          <w:color w:val="8F297B"/>
          <w:sz w:val="18"/>
          <w:szCs w:val="18"/>
          <w:u w:val="single"/>
        </w:rPr>
      </w:pPr>
      <w:hyperlink r:id="rId10">
        <w:r w:rsidR="3CB41FD9" w:rsidRPr="770AA4E5">
          <w:rPr>
            <w:rStyle w:val="Hyperlink"/>
            <w:rFonts w:ascii="Arial" w:eastAsia="Arial" w:hAnsi="Arial" w:cs="Arial"/>
            <w:sz w:val="18"/>
            <w:szCs w:val="18"/>
          </w:rPr>
          <w:t>Bboadway@ibao.on.ca</w:t>
        </w:r>
      </w:hyperlink>
    </w:p>
    <w:p w14:paraId="3CE7CB32" w14:textId="1DEFF171" w:rsidR="00A14521" w:rsidRPr="004E1C30" w:rsidRDefault="00A14521" w:rsidP="770AA4E5">
      <w:pPr>
        <w:spacing w:line="259" w:lineRule="auto"/>
        <w:rPr>
          <w:rFonts w:ascii="Arial" w:eastAsia="Arial" w:hAnsi="Arial" w:cs="Arial"/>
          <w:color w:val="212121"/>
          <w:sz w:val="20"/>
          <w:szCs w:val="20"/>
        </w:rPr>
      </w:pPr>
    </w:p>
    <w:sectPr w:rsidR="00A14521" w:rsidRPr="004E1C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5F75"/>
    <w:multiLevelType w:val="hybridMultilevel"/>
    <w:tmpl w:val="B3C2996E"/>
    <w:lvl w:ilvl="0" w:tplc="79EE3FCC">
      <w:start w:val="1"/>
      <w:numFmt w:val="bullet"/>
      <w:lvlText w:val=""/>
      <w:lvlJc w:val="left"/>
      <w:pPr>
        <w:ind w:left="720" w:hanging="360"/>
      </w:pPr>
      <w:rPr>
        <w:rFonts w:ascii="Symbol" w:hAnsi="Symbol" w:hint="default"/>
      </w:rPr>
    </w:lvl>
    <w:lvl w:ilvl="1" w:tplc="DC809728">
      <w:start w:val="1"/>
      <w:numFmt w:val="bullet"/>
      <w:lvlText w:val="o"/>
      <w:lvlJc w:val="left"/>
      <w:pPr>
        <w:ind w:left="1440" w:hanging="360"/>
      </w:pPr>
      <w:rPr>
        <w:rFonts w:ascii="Courier New" w:hAnsi="Courier New" w:hint="default"/>
      </w:rPr>
    </w:lvl>
    <w:lvl w:ilvl="2" w:tplc="508C8900">
      <w:start w:val="1"/>
      <w:numFmt w:val="bullet"/>
      <w:lvlText w:val=""/>
      <w:lvlJc w:val="left"/>
      <w:pPr>
        <w:ind w:left="2160" w:hanging="360"/>
      </w:pPr>
      <w:rPr>
        <w:rFonts w:ascii="Wingdings" w:hAnsi="Wingdings" w:hint="default"/>
      </w:rPr>
    </w:lvl>
    <w:lvl w:ilvl="3" w:tplc="6A1E8A70">
      <w:start w:val="1"/>
      <w:numFmt w:val="bullet"/>
      <w:lvlText w:val=""/>
      <w:lvlJc w:val="left"/>
      <w:pPr>
        <w:ind w:left="2880" w:hanging="360"/>
      </w:pPr>
      <w:rPr>
        <w:rFonts w:ascii="Symbol" w:hAnsi="Symbol" w:hint="default"/>
      </w:rPr>
    </w:lvl>
    <w:lvl w:ilvl="4" w:tplc="616A87C8">
      <w:start w:val="1"/>
      <w:numFmt w:val="bullet"/>
      <w:lvlText w:val="o"/>
      <w:lvlJc w:val="left"/>
      <w:pPr>
        <w:ind w:left="3600" w:hanging="360"/>
      </w:pPr>
      <w:rPr>
        <w:rFonts w:ascii="Courier New" w:hAnsi="Courier New" w:hint="default"/>
      </w:rPr>
    </w:lvl>
    <w:lvl w:ilvl="5" w:tplc="9D8ECBCC">
      <w:start w:val="1"/>
      <w:numFmt w:val="bullet"/>
      <w:lvlText w:val=""/>
      <w:lvlJc w:val="left"/>
      <w:pPr>
        <w:ind w:left="4320" w:hanging="360"/>
      </w:pPr>
      <w:rPr>
        <w:rFonts w:ascii="Wingdings" w:hAnsi="Wingdings" w:hint="default"/>
      </w:rPr>
    </w:lvl>
    <w:lvl w:ilvl="6" w:tplc="E2CE7D66">
      <w:start w:val="1"/>
      <w:numFmt w:val="bullet"/>
      <w:lvlText w:val=""/>
      <w:lvlJc w:val="left"/>
      <w:pPr>
        <w:ind w:left="5040" w:hanging="360"/>
      </w:pPr>
      <w:rPr>
        <w:rFonts w:ascii="Symbol" w:hAnsi="Symbol" w:hint="default"/>
      </w:rPr>
    </w:lvl>
    <w:lvl w:ilvl="7" w:tplc="3712338C">
      <w:start w:val="1"/>
      <w:numFmt w:val="bullet"/>
      <w:lvlText w:val="o"/>
      <w:lvlJc w:val="left"/>
      <w:pPr>
        <w:ind w:left="5760" w:hanging="360"/>
      </w:pPr>
      <w:rPr>
        <w:rFonts w:ascii="Courier New" w:hAnsi="Courier New" w:hint="default"/>
      </w:rPr>
    </w:lvl>
    <w:lvl w:ilvl="8" w:tplc="077C7A1C">
      <w:start w:val="1"/>
      <w:numFmt w:val="bullet"/>
      <w:lvlText w:val=""/>
      <w:lvlJc w:val="left"/>
      <w:pPr>
        <w:ind w:left="6480" w:hanging="360"/>
      </w:pPr>
      <w:rPr>
        <w:rFonts w:ascii="Wingdings" w:hAnsi="Wingdings" w:hint="default"/>
      </w:rPr>
    </w:lvl>
  </w:abstractNum>
  <w:abstractNum w:abstractNumId="1" w15:restartNumberingAfterBreak="0">
    <w:nsid w:val="433F650F"/>
    <w:multiLevelType w:val="hybridMultilevel"/>
    <w:tmpl w:val="4EAC83A0"/>
    <w:lvl w:ilvl="0" w:tplc="FB1E6A16">
      <w:start w:val="1"/>
      <w:numFmt w:val="bullet"/>
      <w:lvlText w:val=""/>
      <w:lvlJc w:val="left"/>
      <w:pPr>
        <w:ind w:left="720" w:hanging="360"/>
      </w:pPr>
      <w:rPr>
        <w:rFonts w:ascii="Symbol" w:hAnsi="Symbol" w:hint="default"/>
      </w:rPr>
    </w:lvl>
    <w:lvl w:ilvl="1" w:tplc="538A4072">
      <w:start w:val="1"/>
      <w:numFmt w:val="bullet"/>
      <w:lvlText w:val="o"/>
      <w:lvlJc w:val="left"/>
      <w:pPr>
        <w:ind w:left="1440" w:hanging="360"/>
      </w:pPr>
      <w:rPr>
        <w:rFonts w:ascii="Courier New" w:hAnsi="Courier New" w:hint="default"/>
      </w:rPr>
    </w:lvl>
    <w:lvl w:ilvl="2" w:tplc="C68A2AEA">
      <w:start w:val="1"/>
      <w:numFmt w:val="bullet"/>
      <w:lvlText w:val=""/>
      <w:lvlJc w:val="left"/>
      <w:pPr>
        <w:ind w:left="2160" w:hanging="360"/>
      </w:pPr>
      <w:rPr>
        <w:rFonts w:ascii="Wingdings" w:hAnsi="Wingdings" w:hint="default"/>
      </w:rPr>
    </w:lvl>
    <w:lvl w:ilvl="3" w:tplc="AD6A5CE0">
      <w:start w:val="1"/>
      <w:numFmt w:val="bullet"/>
      <w:lvlText w:val=""/>
      <w:lvlJc w:val="left"/>
      <w:pPr>
        <w:ind w:left="2880" w:hanging="360"/>
      </w:pPr>
      <w:rPr>
        <w:rFonts w:ascii="Symbol" w:hAnsi="Symbol" w:hint="default"/>
      </w:rPr>
    </w:lvl>
    <w:lvl w:ilvl="4" w:tplc="802808CE">
      <w:start w:val="1"/>
      <w:numFmt w:val="bullet"/>
      <w:lvlText w:val="o"/>
      <w:lvlJc w:val="left"/>
      <w:pPr>
        <w:ind w:left="3600" w:hanging="360"/>
      </w:pPr>
      <w:rPr>
        <w:rFonts w:ascii="Courier New" w:hAnsi="Courier New" w:hint="default"/>
      </w:rPr>
    </w:lvl>
    <w:lvl w:ilvl="5" w:tplc="15E452B4">
      <w:start w:val="1"/>
      <w:numFmt w:val="bullet"/>
      <w:lvlText w:val=""/>
      <w:lvlJc w:val="left"/>
      <w:pPr>
        <w:ind w:left="4320" w:hanging="360"/>
      </w:pPr>
      <w:rPr>
        <w:rFonts w:ascii="Wingdings" w:hAnsi="Wingdings" w:hint="default"/>
      </w:rPr>
    </w:lvl>
    <w:lvl w:ilvl="6" w:tplc="43A8E0C8">
      <w:start w:val="1"/>
      <w:numFmt w:val="bullet"/>
      <w:lvlText w:val=""/>
      <w:lvlJc w:val="left"/>
      <w:pPr>
        <w:ind w:left="5040" w:hanging="360"/>
      </w:pPr>
      <w:rPr>
        <w:rFonts w:ascii="Symbol" w:hAnsi="Symbol" w:hint="default"/>
      </w:rPr>
    </w:lvl>
    <w:lvl w:ilvl="7" w:tplc="0B06507C">
      <w:start w:val="1"/>
      <w:numFmt w:val="bullet"/>
      <w:lvlText w:val="o"/>
      <w:lvlJc w:val="left"/>
      <w:pPr>
        <w:ind w:left="5760" w:hanging="360"/>
      </w:pPr>
      <w:rPr>
        <w:rFonts w:ascii="Courier New" w:hAnsi="Courier New" w:hint="default"/>
      </w:rPr>
    </w:lvl>
    <w:lvl w:ilvl="8" w:tplc="39E09F4A">
      <w:start w:val="1"/>
      <w:numFmt w:val="bullet"/>
      <w:lvlText w:val=""/>
      <w:lvlJc w:val="left"/>
      <w:pPr>
        <w:ind w:left="6480" w:hanging="360"/>
      </w:pPr>
      <w:rPr>
        <w:rFonts w:ascii="Wingdings" w:hAnsi="Wingdings" w:hint="default"/>
      </w:rPr>
    </w:lvl>
  </w:abstractNum>
  <w:abstractNum w:abstractNumId="2" w15:restartNumberingAfterBreak="0">
    <w:nsid w:val="731EAE16"/>
    <w:multiLevelType w:val="hybridMultilevel"/>
    <w:tmpl w:val="1694AE2E"/>
    <w:lvl w:ilvl="0" w:tplc="886CFA90">
      <w:start w:val="1"/>
      <w:numFmt w:val="bullet"/>
      <w:lvlText w:val=""/>
      <w:lvlJc w:val="left"/>
      <w:pPr>
        <w:ind w:left="720" w:hanging="360"/>
      </w:pPr>
      <w:rPr>
        <w:rFonts w:ascii="Symbol" w:hAnsi="Symbol" w:hint="default"/>
      </w:rPr>
    </w:lvl>
    <w:lvl w:ilvl="1" w:tplc="02E41C84">
      <w:start w:val="1"/>
      <w:numFmt w:val="bullet"/>
      <w:lvlText w:val="o"/>
      <w:lvlJc w:val="left"/>
      <w:pPr>
        <w:ind w:left="1440" w:hanging="360"/>
      </w:pPr>
      <w:rPr>
        <w:rFonts w:ascii="Courier New" w:hAnsi="Courier New" w:hint="default"/>
      </w:rPr>
    </w:lvl>
    <w:lvl w:ilvl="2" w:tplc="69206566">
      <w:start w:val="1"/>
      <w:numFmt w:val="bullet"/>
      <w:lvlText w:val=""/>
      <w:lvlJc w:val="left"/>
      <w:pPr>
        <w:ind w:left="2160" w:hanging="360"/>
      </w:pPr>
      <w:rPr>
        <w:rFonts w:ascii="Wingdings" w:hAnsi="Wingdings" w:hint="default"/>
      </w:rPr>
    </w:lvl>
    <w:lvl w:ilvl="3" w:tplc="762C0586">
      <w:start w:val="1"/>
      <w:numFmt w:val="bullet"/>
      <w:lvlText w:val=""/>
      <w:lvlJc w:val="left"/>
      <w:pPr>
        <w:ind w:left="2880" w:hanging="360"/>
      </w:pPr>
      <w:rPr>
        <w:rFonts w:ascii="Symbol" w:hAnsi="Symbol" w:hint="default"/>
      </w:rPr>
    </w:lvl>
    <w:lvl w:ilvl="4" w:tplc="4F0E2E80">
      <w:start w:val="1"/>
      <w:numFmt w:val="bullet"/>
      <w:lvlText w:val="o"/>
      <w:lvlJc w:val="left"/>
      <w:pPr>
        <w:ind w:left="3600" w:hanging="360"/>
      </w:pPr>
      <w:rPr>
        <w:rFonts w:ascii="Courier New" w:hAnsi="Courier New" w:hint="default"/>
      </w:rPr>
    </w:lvl>
    <w:lvl w:ilvl="5" w:tplc="69E6382E">
      <w:start w:val="1"/>
      <w:numFmt w:val="bullet"/>
      <w:lvlText w:val=""/>
      <w:lvlJc w:val="left"/>
      <w:pPr>
        <w:ind w:left="4320" w:hanging="360"/>
      </w:pPr>
      <w:rPr>
        <w:rFonts w:ascii="Wingdings" w:hAnsi="Wingdings" w:hint="default"/>
      </w:rPr>
    </w:lvl>
    <w:lvl w:ilvl="6" w:tplc="BDBAF7B4">
      <w:start w:val="1"/>
      <w:numFmt w:val="bullet"/>
      <w:lvlText w:val=""/>
      <w:lvlJc w:val="left"/>
      <w:pPr>
        <w:ind w:left="5040" w:hanging="360"/>
      </w:pPr>
      <w:rPr>
        <w:rFonts w:ascii="Symbol" w:hAnsi="Symbol" w:hint="default"/>
      </w:rPr>
    </w:lvl>
    <w:lvl w:ilvl="7" w:tplc="38080C04">
      <w:start w:val="1"/>
      <w:numFmt w:val="bullet"/>
      <w:lvlText w:val="o"/>
      <w:lvlJc w:val="left"/>
      <w:pPr>
        <w:ind w:left="5760" w:hanging="360"/>
      </w:pPr>
      <w:rPr>
        <w:rFonts w:ascii="Courier New" w:hAnsi="Courier New" w:hint="default"/>
      </w:rPr>
    </w:lvl>
    <w:lvl w:ilvl="8" w:tplc="4BF20DA4">
      <w:start w:val="1"/>
      <w:numFmt w:val="bullet"/>
      <w:lvlText w:val=""/>
      <w:lvlJc w:val="left"/>
      <w:pPr>
        <w:ind w:left="6480" w:hanging="360"/>
      </w:pPr>
      <w:rPr>
        <w:rFonts w:ascii="Wingdings" w:hAnsi="Wingdings" w:hint="default"/>
      </w:rPr>
    </w:lvl>
  </w:abstractNum>
  <w:num w:numId="1" w16cid:durableId="1674725349">
    <w:abstractNumId w:val="2"/>
  </w:num>
  <w:num w:numId="2" w16cid:durableId="857549159">
    <w:abstractNumId w:val="0"/>
  </w:num>
  <w:num w:numId="3" w16cid:durableId="317195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30"/>
    <w:rsid w:val="0017307D"/>
    <w:rsid w:val="0028665A"/>
    <w:rsid w:val="002A26EE"/>
    <w:rsid w:val="004E1C30"/>
    <w:rsid w:val="006A0720"/>
    <w:rsid w:val="00A14521"/>
    <w:rsid w:val="0163B6CC"/>
    <w:rsid w:val="02B93A00"/>
    <w:rsid w:val="041395BA"/>
    <w:rsid w:val="04E642CA"/>
    <w:rsid w:val="05FE13F6"/>
    <w:rsid w:val="063727EF"/>
    <w:rsid w:val="0682132B"/>
    <w:rsid w:val="0A7BB401"/>
    <w:rsid w:val="0B6FD4F1"/>
    <w:rsid w:val="0BD3BC63"/>
    <w:rsid w:val="1030E2F7"/>
    <w:rsid w:val="10D5376F"/>
    <w:rsid w:val="10EBBBED"/>
    <w:rsid w:val="112D7CE2"/>
    <w:rsid w:val="11CCB358"/>
    <w:rsid w:val="1273CD69"/>
    <w:rsid w:val="14AB2206"/>
    <w:rsid w:val="16B79BB1"/>
    <w:rsid w:val="17F109A0"/>
    <w:rsid w:val="187F5602"/>
    <w:rsid w:val="1B90996A"/>
    <w:rsid w:val="1DC29CE5"/>
    <w:rsid w:val="1EAB3660"/>
    <w:rsid w:val="1FFC1B85"/>
    <w:rsid w:val="2197EBE6"/>
    <w:rsid w:val="2333BC47"/>
    <w:rsid w:val="2340D09E"/>
    <w:rsid w:val="266B5D09"/>
    <w:rsid w:val="2ADA57C6"/>
    <w:rsid w:val="2B1C2E72"/>
    <w:rsid w:val="3097CEB0"/>
    <w:rsid w:val="33215AD0"/>
    <w:rsid w:val="3CB41FD9"/>
    <w:rsid w:val="4081F519"/>
    <w:rsid w:val="4102FDAF"/>
    <w:rsid w:val="4B3D5714"/>
    <w:rsid w:val="4BF0F12C"/>
    <w:rsid w:val="4E7FF176"/>
    <w:rsid w:val="4F7A1CA0"/>
    <w:rsid w:val="5139A981"/>
    <w:rsid w:val="53CEE837"/>
    <w:rsid w:val="595DE3C3"/>
    <w:rsid w:val="5AD72536"/>
    <w:rsid w:val="5BA28BDB"/>
    <w:rsid w:val="5C958485"/>
    <w:rsid w:val="5D9A0BF6"/>
    <w:rsid w:val="617B91B4"/>
    <w:rsid w:val="657D455B"/>
    <w:rsid w:val="69A0A07C"/>
    <w:rsid w:val="69EC1E98"/>
    <w:rsid w:val="6A4EA223"/>
    <w:rsid w:val="6B3F51FF"/>
    <w:rsid w:val="6B9F8748"/>
    <w:rsid w:val="6F2D7EDD"/>
    <w:rsid w:val="7072F86B"/>
    <w:rsid w:val="73F58469"/>
    <w:rsid w:val="75994250"/>
    <w:rsid w:val="76DEA5F2"/>
    <w:rsid w:val="770AA4E5"/>
    <w:rsid w:val="7732AB3B"/>
    <w:rsid w:val="7799D8BC"/>
    <w:rsid w:val="7A6CB373"/>
    <w:rsid w:val="7BB5AB12"/>
    <w:rsid w:val="7C0883D4"/>
    <w:rsid w:val="7D99419F"/>
    <w:rsid w:val="7DA454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05E8"/>
  <w15:chartTrackingRefBased/>
  <w15:docId w15:val="{B47A5334-8501-054E-9705-B4502318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C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E1C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1C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1C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1C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1C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1C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1C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1C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C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E1C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1C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1C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1C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1C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1C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1C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1C30"/>
    <w:rPr>
      <w:rFonts w:eastAsiaTheme="majorEastAsia" w:cstheme="majorBidi"/>
      <w:color w:val="272727" w:themeColor="text1" w:themeTint="D8"/>
    </w:rPr>
  </w:style>
  <w:style w:type="paragraph" w:styleId="Title">
    <w:name w:val="Title"/>
    <w:basedOn w:val="Normal"/>
    <w:next w:val="Normal"/>
    <w:link w:val="TitleChar"/>
    <w:uiPriority w:val="10"/>
    <w:qFormat/>
    <w:rsid w:val="004E1C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C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1C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1C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C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1C30"/>
    <w:rPr>
      <w:i/>
      <w:iCs/>
      <w:color w:val="404040" w:themeColor="text1" w:themeTint="BF"/>
    </w:rPr>
  </w:style>
  <w:style w:type="paragraph" w:styleId="ListParagraph">
    <w:name w:val="List Paragraph"/>
    <w:basedOn w:val="Normal"/>
    <w:uiPriority w:val="34"/>
    <w:qFormat/>
    <w:rsid w:val="004E1C30"/>
    <w:pPr>
      <w:ind w:left="720"/>
      <w:contextualSpacing/>
    </w:pPr>
  </w:style>
  <w:style w:type="character" w:styleId="IntenseEmphasis">
    <w:name w:val="Intense Emphasis"/>
    <w:basedOn w:val="DefaultParagraphFont"/>
    <w:uiPriority w:val="21"/>
    <w:qFormat/>
    <w:rsid w:val="004E1C30"/>
    <w:rPr>
      <w:i/>
      <w:iCs/>
      <w:color w:val="0F4761" w:themeColor="accent1" w:themeShade="BF"/>
    </w:rPr>
  </w:style>
  <w:style w:type="paragraph" w:styleId="IntenseQuote">
    <w:name w:val="Intense Quote"/>
    <w:basedOn w:val="Normal"/>
    <w:next w:val="Normal"/>
    <w:link w:val="IntenseQuoteChar"/>
    <w:uiPriority w:val="30"/>
    <w:qFormat/>
    <w:rsid w:val="004E1C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1C30"/>
    <w:rPr>
      <w:i/>
      <w:iCs/>
      <w:color w:val="0F4761" w:themeColor="accent1" w:themeShade="BF"/>
    </w:rPr>
  </w:style>
  <w:style w:type="character" w:styleId="IntenseReference">
    <w:name w:val="Intense Reference"/>
    <w:basedOn w:val="DefaultParagraphFont"/>
    <w:uiPriority w:val="32"/>
    <w:qFormat/>
    <w:rsid w:val="004E1C30"/>
    <w:rPr>
      <w:b/>
      <w:bCs/>
      <w:smallCaps/>
      <w:color w:val="0F4761" w:themeColor="accent1" w:themeShade="BF"/>
      <w:spacing w:val="5"/>
    </w:rPr>
  </w:style>
  <w:style w:type="character" w:styleId="Hyperlink">
    <w:name w:val="Hyperlink"/>
    <w:basedOn w:val="DefaultParagraphFont"/>
    <w:uiPriority w:val="99"/>
    <w:unhideWhenUsed/>
    <w:rsid w:val="004E1C30"/>
    <w:rPr>
      <w:color w:val="0000FF"/>
      <w:u w:val="single"/>
    </w:rPr>
  </w:style>
  <w:style w:type="character" w:customStyle="1" w:styleId="markxapvd6p7t">
    <w:name w:val="markxapvd6p7t"/>
    <w:basedOn w:val="DefaultParagraphFont"/>
    <w:rsid w:val="004E1C30"/>
  </w:style>
  <w:style w:type="paragraph" w:styleId="NormalWeb">
    <w:name w:val="Normal (Web)"/>
    <w:basedOn w:val="Normal"/>
    <w:uiPriority w:val="99"/>
    <w:semiHidden/>
    <w:unhideWhenUsed/>
    <w:rsid w:val="004E1C30"/>
    <w:pPr>
      <w:spacing w:before="100" w:beforeAutospacing="1" w:after="100" w:afterAutospacing="1"/>
    </w:pPr>
    <w:rPr>
      <w:rFonts w:ascii="Times New Roman" w:eastAsia="Times New Roman" w:hAnsi="Times New Roman" w:cs="Times New Roman"/>
      <w:kern w:val="0"/>
      <w14:ligatures w14:val="none"/>
    </w:rPr>
  </w:style>
  <w:style w:type="paragraph" w:customStyle="1" w:styleId="xmsonormal">
    <w:name w:val="x_msonormal"/>
    <w:basedOn w:val="Normal"/>
    <w:rsid w:val="004E1C30"/>
    <w:pPr>
      <w:spacing w:before="100" w:beforeAutospacing="1" w:after="100" w:afterAutospacing="1"/>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4E1C30"/>
    <w:rPr>
      <w:color w:val="605E5C"/>
      <w:shd w:val="clear" w:color="auto" w:fill="E1DFDD"/>
    </w:rPr>
  </w:style>
  <w:style w:type="character" w:styleId="FollowedHyperlink">
    <w:name w:val="FollowedHyperlink"/>
    <w:basedOn w:val="DefaultParagraphFont"/>
    <w:uiPriority w:val="99"/>
    <w:semiHidden/>
    <w:unhideWhenUsed/>
    <w:rsid w:val="004E1C3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3a%2f%2fwww.ibao.org%2f&amp;c=E,1,yTu4yMLGKEaTdJbzFBg0Bj4iEofJVxDnzZqynDVBUC30yaZ6ISfmUGQ_PkG1nbbvDMwlyQ5AZVdUQDHgXplTkVeTRT3eKK5w8QUvpVL2dTgas6MTVnWDEUCR&amp;typo=1"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50.statcan.gc.ca/n1/daily-quotidien/220427/dq220427b-eng.ht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Bboadway@ibao.on.ca" TargetMode="External"/><Relationship Id="rId4" Type="http://schemas.openxmlformats.org/officeDocument/2006/relationships/webSettings" Target="webSettings.xml"/><Relationship Id="rId9" Type="http://schemas.openxmlformats.org/officeDocument/2006/relationships/hyperlink" Target="https://twitter.com/IBAOntar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Boadway</dc:creator>
  <cp:keywords/>
  <dc:description/>
  <cp:lastModifiedBy>Gloria Do</cp:lastModifiedBy>
  <cp:revision>2</cp:revision>
  <dcterms:created xsi:type="dcterms:W3CDTF">2024-03-08T18:42:00Z</dcterms:created>
  <dcterms:modified xsi:type="dcterms:W3CDTF">2024-03-08T18:42:00Z</dcterms:modified>
</cp:coreProperties>
</file>