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739C" w14:textId="473BC26E" w:rsidR="002D6065" w:rsidRPr="00E57403" w:rsidRDefault="002D6065" w:rsidP="007E5889">
      <w:pPr>
        <w:spacing w:after="240"/>
        <w:jc w:val="center"/>
        <w:rPr>
          <w:rFonts w:ascii="Arial" w:hAnsi="Arial" w:cs="Arial"/>
          <w:b/>
          <w:bCs/>
          <w:sz w:val="28"/>
          <w:szCs w:val="28"/>
        </w:rPr>
      </w:pPr>
      <w:r w:rsidRPr="00E57403">
        <w:rPr>
          <w:rFonts w:ascii="Arial" w:hAnsi="Arial" w:cs="Arial"/>
          <w:b/>
          <w:bCs/>
          <w:sz w:val="28"/>
          <w:szCs w:val="28"/>
        </w:rPr>
        <w:t>Canad</w:t>
      </w:r>
      <w:r w:rsidRPr="00E57403">
        <w:rPr>
          <w:rFonts w:ascii="Arial" w:hAnsi="Arial" w:cs="Arial"/>
          <w:b/>
          <w:bCs/>
          <w:sz w:val="28"/>
          <w:szCs w:val="28"/>
        </w:rPr>
        <w:t>ian Association of Private Lenders</w:t>
      </w:r>
    </w:p>
    <w:p w14:paraId="5A9EE29B" w14:textId="4DEDCD2D" w:rsidR="002D6065" w:rsidRPr="00E57403" w:rsidRDefault="002D6065" w:rsidP="007E5889">
      <w:pPr>
        <w:spacing w:after="240"/>
        <w:jc w:val="center"/>
        <w:rPr>
          <w:rFonts w:ascii="Arial" w:hAnsi="Arial" w:cs="Arial"/>
        </w:rPr>
      </w:pPr>
      <w:r w:rsidRPr="00883F71">
        <w:rPr>
          <w:rFonts w:ascii="Arial" w:hAnsi="Arial" w:cs="Arial"/>
          <w:sz w:val="20"/>
          <w:szCs w:val="20"/>
        </w:rPr>
        <w:t>Via email:</w:t>
      </w:r>
      <w:r w:rsidR="00883F71" w:rsidRPr="00883F71">
        <w:rPr>
          <w:rFonts w:ascii="Arial" w:hAnsi="Arial" w:cs="Arial"/>
          <w:sz w:val="20"/>
          <w:szCs w:val="20"/>
        </w:rPr>
        <w:t xml:space="preserve"> </w:t>
      </w:r>
      <w:r w:rsidR="00883F71" w:rsidRPr="00883F71">
        <w:rPr>
          <w:rFonts w:ascii="Arial" w:hAnsi="Arial" w:cs="Arial"/>
          <w:sz w:val="20"/>
          <w:szCs w:val="20"/>
        </w:rPr>
        <w:t>samanthagale098@gmail.com</w:t>
      </w:r>
    </w:p>
    <w:p w14:paraId="1C60C394" w14:textId="0FA0ED1F" w:rsidR="002D6065" w:rsidRPr="00E57403" w:rsidRDefault="00883F71" w:rsidP="00883F71">
      <w:pPr>
        <w:spacing w:after="240" w:line="375" w:lineRule="atLeast"/>
        <w:jc w:val="right"/>
        <w:rPr>
          <w:rFonts w:ascii="Arial" w:hAnsi="Arial" w:cs="Arial"/>
          <w:color w:val="030303"/>
        </w:rPr>
      </w:pPr>
      <w:r w:rsidRPr="00E57403">
        <w:rPr>
          <w:rFonts w:ascii="Arial" w:hAnsi="Arial" w:cs="Arial"/>
          <w:color w:val="030303"/>
        </w:rPr>
        <w:t>January 18, 2022</w:t>
      </w:r>
    </w:p>
    <w:p w14:paraId="56589822" w14:textId="143D0526" w:rsidR="00E57403" w:rsidRPr="00E57403" w:rsidRDefault="00E57403" w:rsidP="00E57403">
      <w:pPr>
        <w:rPr>
          <w:rFonts w:ascii="Arial" w:hAnsi="Arial" w:cs="Arial"/>
          <w:color w:val="030303"/>
          <w:shd w:val="clear" w:color="auto" w:fill="FFFFFF"/>
        </w:rPr>
      </w:pPr>
      <w:r w:rsidRPr="00E57403">
        <w:rPr>
          <w:rFonts w:ascii="Arial" w:hAnsi="Arial" w:cs="Arial"/>
          <w:color w:val="030303"/>
          <w:shd w:val="clear" w:color="auto" w:fill="FFFFFF"/>
        </w:rPr>
        <w:t>Financial Services Regulatory Authority of Ontario</w:t>
      </w:r>
      <w:r w:rsidR="00582F70">
        <w:rPr>
          <w:rFonts w:ascii="Arial" w:hAnsi="Arial" w:cs="Arial"/>
          <w:color w:val="030303"/>
          <w:shd w:val="clear" w:color="auto" w:fill="FFFFFF"/>
        </w:rPr>
        <w:t xml:space="preserve"> </w:t>
      </w:r>
    </w:p>
    <w:p w14:paraId="1797D5D4" w14:textId="1FD1447E" w:rsidR="00E57403" w:rsidRPr="00E57403" w:rsidRDefault="00E57403" w:rsidP="00E57403">
      <w:pPr>
        <w:rPr>
          <w:rFonts w:ascii="Arial" w:hAnsi="Arial" w:cs="Arial"/>
          <w:color w:val="030303"/>
          <w:shd w:val="clear" w:color="auto" w:fill="FFFFFF"/>
        </w:rPr>
      </w:pPr>
      <w:r w:rsidRPr="00E57403">
        <w:rPr>
          <w:rFonts w:ascii="Arial" w:hAnsi="Arial" w:cs="Arial"/>
          <w:color w:val="030303"/>
          <w:shd w:val="clear" w:color="auto" w:fill="FFFFFF"/>
        </w:rPr>
        <w:t>25 Sheppard Avenue West, Suite 100</w:t>
      </w:r>
      <w:r w:rsidRPr="00E57403">
        <w:rPr>
          <w:rFonts w:ascii="Arial" w:hAnsi="Arial" w:cs="Arial"/>
          <w:color w:val="030303"/>
        </w:rPr>
        <w:br/>
      </w:r>
      <w:r w:rsidRPr="00E57403">
        <w:rPr>
          <w:rFonts w:ascii="Arial" w:hAnsi="Arial" w:cs="Arial"/>
          <w:color w:val="030303"/>
          <w:shd w:val="clear" w:color="auto" w:fill="FFFFFF"/>
        </w:rPr>
        <w:t>Toronto, ON </w:t>
      </w:r>
      <w:r w:rsidRPr="00E57403">
        <w:rPr>
          <w:rFonts w:ascii="Arial" w:hAnsi="Arial" w:cs="Arial"/>
          <w:color w:val="030303"/>
        </w:rPr>
        <w:br/>
      </w:r>
      <w:r w:rsidRPr="00E57403">
        <w:rPr>
          <w:rFonts w:ascii="Arial" w:hAnsi="Arial" w:cs="Arial"/>
          <w:color w:val="030303"/>
          <w:shd w:val="clear" w:color="auto" w:fill="FFFFFF"/>
        </w:rPr>
        <w:t>M2N 6S6</w:t>
      </w:r>
    </w:p>
    <w:p w14:paraId="3A3D5E14" w14:textId="1C72AB3C" w:rsidR="00E57403" w:rsidRPr="00E57403" w:rsidRDefault="00E57403" w:rsidP="00E57403">
      <w:r w:rsidRPr="00E57403">
        <w:rPr>
          <w:rFonts w:ascii="Arial" w:hAnsi="Arial" w:cs="Arial"/>
          <w:color w:val="030303"/>
          <w:shd w:val="clear" w:color="auto" w:fill="FFFFFF"/>
        </w:rPr>
        <w:t>Submitted electronically via feedback form</w:t>
      </w:r>
    </w:p>
    <w:p w14:paraId="555ED614" w14:textId="77777777" w:rsidR="00E57403" w:rsidRDefault="00E57403" w:rsidP="00956E48">
      <w:pPr>
        <w:spacing w:after="240" w:line="375" w:lineRule="atLeast"/>
        <w:rPr>
          <w:rFonts w:ascii="Arial" w:hAnsi="Arial" w:cs="Arial"/>
          <w:color w:val="030303"/>
          <w:sz w:val="26"/>
          <w:szCs w:val="26"/>
        </w:rPr>
      </w:pPr>
    </w:p>
    <w:p w14:paraId="611E9411" w14:textId="129BE876" w:rsidR="00FD2978" w:rsidRDefault="00DF70B0" w:rsidP="00FD2978">
      <w:pPr>
        <w:pStyle w:val="NormalWeb"/>
        <w:shd w:val="clear" w:color="auto" w:fill="FFFFFF"/>
        <w:rPr>
          <w:rFonts w:ascii="Arial" w:hAnsi="Arial" w:cs="Arial"/>
          <w:u w:val="single"/>
        </w:rPr>
      </w:pPr>
      <w:r w:rsidRPr="00FD2978">
        <w:rPr>
          <w:rFonts w:ascii="Arial" w:hAnsi="Arial" w:cs="Arial"/>
          <w:color w:val="030303"/>
          <w:sz w:val="26"/>
          <w:szCs w:val="26"/>
          <w:u w:val="single"/>
        </w:rPr>
        <w:t xml:space="preserve">Re: Feedback on </w:t>
      </w:r>
      <w:r w:rsidR="00FD2978" w:rsidRPr="00FD2978">
        <w:rPr>
          <w:rFonts w:ascii="Arial" w:hAnsi="Arial" w:cs="Arial"/>
          <w:color w:val="030303"/>
          <w:sz w:val="26"/>
          <w:szCs w:val="26"/>
          <w:u w:val="single"/>
        </w:rPr>
        <w:t xml:space="preserve">Proposed </w:t>
      </w:r>
      <w:r w:rsidRPr="00FD2978">
        <w:rPr>
          <w:rFonts w:ascii="Arial" w:hAnsi="Arial" w:cs="Arial"/>
          <w:color w:val="030303"/>
          <w:sz w:val="26"/>
          <w:szCs w:val="26"/>
          <w:u w:val="single"/>
        </w:rPr>
        <w:t>Guidance</w:t>
      </w:r>
      <w:r w:rsidR="00FD2978" w:rsidRPr="00FD2978">
        <w:rPr>
          <w:rFonts w:ascii="Arial" w:hAnsi="Arial" w:cs="Arial"/>
          <w:color w:val="030303"/>
          <w:sz w:val="26"/>
          <w:szCs w:val="26"/>
          <w:u w:val="single"/>
        </w:rPr>
        <w:t xml:space="preserve"> </w:t>
      </w:r>
      <w:r w:rsidR="00FD2978" w:rsidRPr="00FD2978">
        <w:rPr>
          <w:rFonts w:ascii="Arial" w:hAnsi="Arial" w:cs="Arial"/>
          <w:u w:val="single"/>
        </w:rPr>
        <w:t xml:space="preserve">No. MB0044INT </w:t>
      </w:r>
      <w:r w:rsidR="00FD17A4">
        <w:rPr>
          <w:rFonts w:ascii="Arial" w:hAnsi="Arial" w:cs="Arial"/>
          <w:u w:val="single"/>
        </w:rPr>
        <w:t>– Mortgage Fraud</w:t>
      </w:r>
    </w:p>
    <w:p w14:paraId="16E0A4F5" w14:textId="77777777" w:rsidR="00582F70" w:rsidRDefault="00B35FD1" w:rsidP="003F239D">
      <w:pPr>
        <w:rPr>
          <w:rFonts w:ascii="Arial" w:hAnsi="Arial" w:cs="Arial"/>
        </w:rPr>
      </w:pPr>
      <w:r>
        <w:rPr>
          <w:rFonts w:ascii="Arial" w:hAnsi="Arial" w:cs="Arial"/>
        </w:rPr>
        <w:t>We</w:t>
      </w:r>
      <w:r w:rsidR="00750208">
        <w:rPr>
          <w:rFonts w:ascii="Arial" w:hAnsi="Arial" w:cs="Arial"/>
        </w:rPr>
        <w:t xml:space="preserve"> write on behalf of the newly formed Canadian Association of Private Lenders, which represents the interests of private mortgage lenders, investors and administrators across Canada. </w:t>
      </w:r>
      <w:r w:rsidR="00F076DB">
        <w:rPr>
          <w:rFonts w:ascii="Arial" w:hAnsi="Arial" w:cs="Arial"/>
        </w:rPr>
        <w:t xml:space="preserve">One of the rationales for establishing this association is to focus private lending dialogue on regulatory reform. </w:t>
      </w:r>
    </w:p>
    <w:p w14:paraId="0045E3B3" w14:textId="77777777" w:rsidR="00582F70" w:rsidRDefault="00582F70" w:rsidP="003F239D">
      <w:pPr>
        <w:rPr>
          <w:rFonts w:ascii="Arial" w:hAnsi="Arial" w:cs="Arial"/>
        </w:rPr>
      </w:pPr>
    </w:p>
    <w:p w14:paraId="3409F728" w14:textId="43251290" w:rsidR="003F239D" w:rsidRPr="003F239D" w:rsidRDefault="00750208" w:rsidP="003F239D">
      <w:r>
        <w:rPr>
          <w:rFonts w:ascii="Arial" w:hAnsi="Arial" w:cs="Arial"/>
        </w:rPr>
        <w:t xml:space="preserve">More specifically, </w:t>
      </w:r>
      <w:r w:rsidR="00B35FD1">
        <w:rPr>
          <w:rFonts w:ascii="Arial" w:hAnsi="Arial" w:cs="Arial"/>
        </w:rPr>
        <w:t>we are</w:t>
      </w:r>
      <w:r>
        <w:rPr>
          <w:rFonts w:ascii="Arial" w:hAnsi="Arial" w:cs="Arial"/>
        </w:rPr>
        <w:t xml:space="preserve"> writing </w:t>
      </w:r>
      <w:r w:rsidR="009B0925">
        <w:rPr>
          <w:rFonts w:ascii="Arial" w:hAnsi="Arial" w:cs="Arial"/>
        </w:rPr>
        <w:t xml:space="preserve">to provide comments on </w:t>
      </w:r>
      <w:r w:rsidR="00FD17A4">
        <w:rPr>
          <w:rFonts w:ascii="Arial" w:hAnsi="Arial" w:cs="Arial"/>
        </w:rPr>
        <w:t xml:space="preserve">the </w:t>
      </w:r>
      <w:r w:rsidR="00371186" w:rsidRPr="009B0925">
        <w:rPr>
          <w:rFonts w:ascii="Arial" w:hAnsi="Arial" w:cs="Arial"/>
        </w:rPr>
        <w:t xml:space="preserve">Financial Services Regulatory Authority of Ontario’s </w:t>
      </w:r>
      <w:r w:rsidR="00371186">
        <w:rPr>
          <w:rFonts w:ascii="Arial" w:hAnsi="Arial" w:cs="Arial"/>
        </w:rPr>
        <w:t>(</w:t>
      </w:r>
      <w:r w:rsidR="009B0925">
        <w:rPr>
          <w:rFonts w:ascii="Arial" w:hAnsi="Arial" w:cs="Arial"/>
        </w:rPr>
        <w:t>FSRA’s</w:t>
      </w:r>
      <w:r w:rsidR="00371186">
        <w:rPr>
          <w:rFonts w:ascii="Arial" w:hAnsi="Arial" w:cs="Arial"/>
        </w:rPr>
        <w:t>)</w:t>
      </w:r>
      <w:r w:rsidR="009B0925">
        <w:rPr>
          <w:rFonts w:ascii="Arial" w:hAnsi="Arial" w:cs="Arial"/>
        </w:rPr>
        <w:t xml:space="preserve"> proposed guidance </w:t>
      </w:r>
      <w:r w:rsidR="00B07DEA">
        <w:rPr>
          <w:rFonts w:ascii="Arial" w:hAnsi="Arial" w:cs="Arial"/>
        </w:rPr>
        <w:t>i</w:t>
      </w:r>
      <w:r w:rsidR="00371186">
        <w:rPr>
          <w:rFonts w:ascii="Arial" w:hAnsi="Arial" w:cs="Arial"/>
        </w:rPr>
        <w:t>n M</w:t>
      </w:r>
      <w:r>
        <w:rPr>
          <w:rFonts w:ascii="Arial" w:hAnsi="Arial" w:cs="Arial"/>
        </w:rPr>
        <w:t>B</w:t>
      </w:r>
      <w:r w:rsidR="00371186">
        <w:rPr>
          <w:rFonts w:ascii="Arial" w:hAnsi="Arial" w:cs="Arial"/>
        </w:rPr>
        <w:t xml:space="preserve">0044INT, which sets out its </w:t>
      </w:r>
      <w:r w:rsidR="009B0925" w:rsidRPr="009B0925">
        <w:rPr>
          <w:rFonts w:ascii="Arial" w:hAnsi="Arial" w:cs="Arial"/>
        </w:rPr>
        <w:t xml:space="preserve">interpretation of the </w:t>
      </w:r>
      <w:r w:rsidR="00371186">
        <w:rPr>
          <w:rFonts w:ascii="Arial" w:hAnsi="Arial" w:cs="Arial"/>
        </w:rPr>
        <w:t>“</w:t>
      </w:r>
      <w:r w:rsidR="009B0925" w:rsidRPr="009B0925">
        <w:rPr>
          <w:rFonts w:ascii="Arial,Italic" w:hAnsi="Arial,Italic"/>
        </w:rPr>
        <w:t xml:space="preserve">Mortgage Brokerages, Lenders and Administrators Act, 2006 </w:t>
      </w:r>
      <w:r w:rsidR="009B0925" w:rsidRPr="009B0925">
        <w:rPr>
          <w:rFonts w:ascii="Arial" w:hAnsi="Arial" w:cs="Arial"/>
        </w:rPr>
        <w:t>(MBLAA) and its regulations as they apply to mortgage fraud.</w:t>
      </w:r>
      <w:r w:rsidR="00371186">
        <w:rPr>
          <w:rFonts w:ascii="Arial" w:hAnsi="Arial" w:cs="Arial"/>
        </w:rPr>
        <w:t xml:space="preserve">” </w:t>
      </w:r>
      <w:r w:rsidR="003F239D">
        <w:rPr>
          <w:rFonts w:ascii="Arial" w:hAnsi="Arial" w:cs="Arial"/>
        </w:rPr>
        <w:t xml:space="preserve">MB0044INT explains the nature of mortgage fraud and its many forms which occur in the context of mortgage lending. In particular the document explains that it can result in “borrowers paying higher fees or inflated interest rates, or obtaining a mortgage they cannot afford”. </w:t>
      </w:r>
    </w:p>
    <w:p w14:paraId="39A6B3DB" w14:textId="13C09D92" w:rsidR="00330F65" w:rsidRDefault="00371186" w:rsidP="009258B9">
      <w:pPr>
        <w:pStyle w:val="NormalWeb"/>
        <w:rPr>
          <w:rFonts w:ascii="Arial" w:hAnsi="Arial" w:cs="Arial"/>
          <w:color w:val="000000" w:themeColor="text1"/>
        </w:rPr>
      </w:pPr>
      <w:r w:rsidRPr="0063378F">
        <w:rPr>
          <w:rFonts w:ascii="Arial" w:hAnsi="Arial" w:cs="Arial"/>
        </w:rPr>
        <w:t xml:space="preserve">The proposed document also provides a </w:t>
      </w:r>
      <w:r w:rsidR="004232F2">
        <w:rPr>
          <w:rFonts w:ascii="Arial" w:hAnsi="Arial" w:cs="Arial"/>
        </w:rPr>
        <w:t>“</w:t>
      </w:r>
      <w:r w:rsidRPr="0063378F">
        <w:rPr>
          <w:rFonts w:ascii="Arial" w:hAnsi="Arial" w:cs="Arial"/>
        </w:rPr>
        <w:t>Checklist for Detecting and Preventing Mortgage Fraud</w:t>
      </w:r>
      <w:r w:rsidR="004232F2">
        <w:rPr>
          <w:rFonts w:ascii="Arial" w:hAnsi="Arial" w:cs="Arial"/>
        </w:rPr>
        <w:t>”</w:t>
      </w:r>
      <w:r w:rsidR="00750208" w:rsidRPr="0063378F">
        <w:rPr>
          <w:rFonts w:ascii="Arial" w:hAnsi="Arial" w:cs="Arial"/>
        </w:rPr>
        <w:t>, and licensees are advised that they can use the checklist to limit mortgage fraud in the mortgage brokering and lending sector.</w:t>
      </w:r>
      <w:r w:rsidR="003F239D" w:rsidRPr="0063378F">
        <w:rPr>
          <w:rFonts w:ascii="Arial" w:hAnsi="Arial" w:cs="Arial"/>
        </w:rPr>
        <w:t xml:space="preserve"> The guidance </w:t>
      </w:r>
      <w:r w:rsidR="0063378F" w:rsidRPr="0063378F">
        <w:rPr>
          <w:rFonts w:ascii="Arial" w:hAnsi="Arial" w:cs="Arial"/>
        </w:rPr>
        <w:t xml:space="preserve">further </w:t>
      </w:r>
      <w:r w:rsidR="003F239D" w:rsidRPr="0063378F">
        <w:rPr>
          <w:rFonts w:ascii="Arial" w:hAnsi="Arial" w:cs="Arial"/>
        </w:rPr>
        <w:t>explains the relevance of the checklist by advising that “</w:t>
      </w:r>
      <w:r w:rsidR="003F239D" w:rsidRPr="0063378F">
        <w:rPr>
          <w:rFonts w:ascii="Arial" w:hAnsi="Arial" w:cs="Arial"/>
          <w:color w:val="030303"/>
          <w:shd w:val="clear" w:color="auto" w:fill="FFFFFF"/>
        </w:rPr>
        <w:t xml:space="preserve">In its supervisory reviews, FSRA will highlight non-compliance </w:t>
      </w:r>
      <w:r w:rsidR="003F239D" w:rsidRPr="0063378F">
        <w:rPr>
          <w:rFonts w:ascii="Arial" w:hAnsi="Arial" w:cs="Arial"/>
          <w:color w:val="000000" w:themeColor="text1"/>
          <w:shd w:val="clear" w:color="auto" w:fill="FFFFFF"/>
        </w:rPr>
        <w:t>with all aspects of the Checklist and may enforce against those that align with requirements in the MBLAA.</w:t>
      </w:r>
      <w:r w:rsidR="003F239D" w:rsidRPr="0063378F">
        <w:rPr>
          <w:rFonts w:ascii="Arial" w:hAnsi="Arial" w:cs="Arial"/>
          <w:color w:val="000000" w:themeColor="text1"/>
          <w:shd w:val="clear" w:color="auto" w:fill="FFFFFF"/>
        </w:rPr>
        <w:t>”</w:t>
      </w:r>
      <w:r w:rsidR="003F239D" w:rsidRPr="0063378F">
        <w:rPr>
          <w:rFonts w:ascii="Arial" w:hAnsi="Arial" w:cs="Arial"/>
          <w:color w:val="000000" w:themeColor="text1"/>
          <w:shd w:val="clear" w:color="auto" w:fill="FFFFFF"/>
        </w:rPr>
        <w:t> </w:t>
      </w:r>
      <w:r w:rsidR="003F239D" w:rsidRPr="0063378F">
        <w:rPr>
          <w:rFonts w:ascii="Arial" w:hAnsi="Arial" w:cs="Arial"/>
          <w:color w:val="000000" w:themeColor="text1"/>
          <w:shd w:val="clear" w:color="auto" w:fill="FFFFFF"/>
        </w:rPr>
        <w:t xml:space="preserve"> </w:t>
      </w:r>
      <w:r w:rsidR="009258B9" w:rsidRPr="0063378F">
        <w:rPr>
          <w:rFonts w:ascii="Arial" w:hAnsi="Arial" w:cs="Arial"/>
          <w:color w:val="000000" w:themeColor="text1"/>
          <w:shd w:val="clear" w:color="auto" w:fill="FFFFFF"/>
        </w:rPr>
        <w:t>The checklist contains a specific section on private lending, which directs mortgage brokers and agents to</w:t>
      </w:r>
      <w:r w:rsidR="00330F65" w:rsidRPr="0063378F">
        <w:rPr>
          <w:rFonts w:ascii="Arial" w:hAnsi="Arial" w:cs="Arial"/>
          <w:color w:val="000000" w:themeColor="text1"/>
          <w:shd w:val="clear" w:color="auto" w:fill="FFFFFF"/>
        </w:rPr>
        <w:t xml:space="preserve"> review with lenders or investors</w:t>
      </w:r>
      <w:r w:rsidR="009258B9" w:rsidRPr="0063378F">
        <w:rPr>
          <w:rFonts w:ascii="Arial" w:hAnsi="Arial" w:cs="Arial"/>
          <w:color w:val="000000" w:themeColor="text1"/>
          <w:shd w:val="clear" w:color="auto" w:fill="FFFFFF"/>
        </w:rPr>
        <w:t xml:space="preserve"> “</w:t>
      </w:r>
      <w:r w:rsidR="009258B9" w:rsidRPr="0063378F">
        <w:rPr>
          <w:rFonts w:ascii="Arial" w:hAnsi="Arial" w:cs="Arial"/>
          <w:b/>
          <w:bCs/>
          <w:color w:val="000000" w:themeColor="text1"/>
        </w:rPr>
        <w:t>Documentary evidence of the borrower’s ability to meet the mortgage payments</w:t>
      </w:r>
      <w:r w:rsidR="009258B9" w:rsidRPr="0063378F">
        <w:rPr>
          <w:rFonts w:ascii="Arial" w:hAnsi="Arial" w:cs="Arial"/>
          <w:color w:val="000000" w:themeColor="text1"/>
        </w:rPr>
        <w:t>.</w:t>
      </w:r>
      <w:r w:rsidR="00330F65" w:rsidRPr="0063378F">
        <w:rPr>
          <w:rFonts w:ascii="Arial" w:hAnsi="Arial" w:cs="Arial"/>
          <w:color w:val="000000" w:themeColor="text1"/>
        </w:rPr>
        <w:t>”</w:t>
      </w:r>
      <w:r w:rsidR="0063378F">
        <w:rPr>
          <w:rFonts w:ascii="Arial" w:hAnsi="Arial" w:cs="Arial"/>
          <w:color w:val="000000" w:themeColor="text1"/>
        </w:rPr>
        <w:t xml:space="preserve"> It is this aspect of the guidance and accompanying checklist which </w:t>
      </w:r>
      <w:r w:rsidR="004232F2">
        <w:rPr>
          <w:rFonts w:ascii="Arial" w:hAnsi="Arial" w:cs="Arial"/>
          <w:color w:val="000000" w:themeColor="text1"/>
        </w:rPr>
        <w:t>we</w:t>
      </w:r>
      <w:r w:rsidR="0063378F">
        <w:rPr>
          <w:rFonts w:ascii="Arial" w:hAnsi="Arial" w:cs="Arial"/>
          <w:color w:val="000000" w:themeColor="text1"/>
        </w:rPr>
        <w:t xml:space="preserve"> </w:t>
      </w:r>
      <w:r w:rsidR="004232F2">
        <w:rPr>
          <w:rFonts w:ascii="Arial" w:hAnsi="Arial" w:cs="Arial"/>
          <w:color w:val="000000" w:themeColor="text1"/>
        </w:rPr>
        <w:t>wish</w:t>
      </w:r>
      <w:r w:rsidR="0063378F">
        <w:rPr>
          <w:rFonts w:ascii="Arial" w:hAnsi="Arial" w:cs="Arial"/>
          <w:color w:val="000000" w:themeColor="text1"/>
        </w:rPr>
        <w:t xml:space="preserve"> to address.</w:t>
      </w:r>
    </w:p>
    <w:p w14:paraId="18578DD7" w14:textId="1ACE28E9" w:rsidR="0063378F" w:rsidRDefault="0063378F" w:rsidP="009258B9">
      <w:pPr>
        <w:pStyle w:val="NormalWeb"/>
        <w:rPr>
          <w:rFonts w:ascii="Arial" w:hAnsi="Arial" w:cs="Arial"/>
          <w:color w:val="000000" w:themeColor="text1"/>
        </w:rPr>
      </w:pPr>
      <w:r>
        <w:rPr>
          <w:rFonts w:ascii="Arial" w:hAnsi="Arial" w:cs="Arial"/>
          <w:color w:val="000000" w:themeColor="text1"/>
        </w:rPr>
        <w:t>We are concerned that guidance on the interpretation of the MBLAA</w:t>
      </w:r>
      <w:r w:rsidR="004232F2">
        <w:rPr>
          <w:rFonts w:ascii="Arial" w:hAnsi="Arial" w:cs="Arial"/>
          <w:color w:val="000000" w:themeColor="text1"/>
        </w:rPr>
        <w:t>,</w:t>
      </w:r>
      <w:r>
        <w:rPr>
          <w:rFonts w:ascii="Arial" w:hAnsi="Arial" w:cs="Arial"/>
          <w:color w:val="000000" w:themeColor="text1"/>
        </w:rPr>
        <w:t xml:space="preserve"> which </w:t>
      </w:r>
      <w:r w:rsidR="00D164AE">
        <w:rPr>
          <w:rFonts w:ascii="Arial" w:hAnsi="Arial" w:cs="Arial"/>
          <w:color w:val="000000" w:themeColor="text1"/>
        </w:rPr>
        <w:t>requires</w:t>
      </w:r>
      <w:r>
        <w:rPr>
          <w:rFonts w:ascii="Arial" w:hAnsi="Arial" w:cs="Arial"/>
          <w:color w:val="000000" w:themeColor="text1"/>
        </w:rPr>
        <w:t xml:space="preserve"> licensees who </w:t>
      </w:r>
      <w:r w:rsidR="000176FD">
        <w:rPr>
          <w:rFonts w:ascii="Arial" w:hAnsi="Arial" w:cs="Arial"/>
          <w:color w:val="000000" w:themeColor="text1"/>
        </w:rPr>
        <w:t xml:space="preserve">provide </w:t>
      </w:r>
      <w:r>
        <w:rPr>
          <w:rFonts w:ascii="Arial" w:hAnsi="Arial" w:cs="Arial"/>
          <w:color w:val="000000" w:themeColor="text1"/>
        </w:rPr>
        <w:t xml:space="preserve">private mortgages to obtain and review with investors documentary evidence of the borrower’s ability to repay the mortgage </w:t>
      </w:r>
      <w:r w:rsidR="00D164AE">
        <w:rPr>
          <w:rFonts w:ascii="Arial" w:hAnsi="Arial" w:cs="Arial"/>
          <w:color w:val="000000" w:themeColor="text1"/>
        </w:rPr>
        <w:t>will impede potentially all private mortgage lending.</w:t>
      </w:r>
      <w:r w:rsidR="00707568">
        <w:rPr>
          <w:rFonts w:ascii="Arial" w:hAnsi="Arial" w:cs="Arial"/>
          <w:color w:val="000000" w:themeColor="text1"/>
        </w:rPr>
        <w:t xml:space="preserve"> This is due to the nature of private lending, which is solution oriented and is underwritten using different analyses than conventional mortgage financing. While conventional financing is </w:t>
      </w:r>
      <w:r w:rsidR="00A70243">
        <w:rPr>
          <w:rFonts w:ascii="Arial" w:hAnsi="Arial" w:cs="Arial"/>
          <w:color w:val="000000" w:themeColor="text1"/>
        </w:rPr>
        <w:t>dependent</w:t>
      </w:r>
      <w:r w:rsidR="00707568">
        <w:rPr>
          <w:rFonts w:ascii="Arial" w:hAnsi="Arial" w:cs="Arial"/>
          <w:color w:val="000000" w:themeColor="text1"/>
        </w:rPr>
        <w:t xml:space="preserve"> on </w:t>
      </w:r>
      <w:r w:rsidR="00A70243">
        <w:rPr>
          <w:rFonts w:ascii="Arial" w:hAnsi="Arial" w:cs="Arial"/>
          <w:color w:val="000000" w:themeColor="text1"/>
        </w:rPr>
        <w:t xml:space="preserve">an analyses of </w:t>
      </w:r>
      <w:r w:rsidR="00707568">
        <w:rPr>
          <w:rFonts w:ascii="Arial" w:hAnsi="Arial" w:cs="Arial"/>
          <w:color w:val="000000" w:themeColor="text1"/>
        </w:rPr>
        <w:t xml:space="preserve">specific income information, debt </w:t>
      </w:r>
      <w:r w:rsidR="00A923F5">
        <w:rPr>
          <w:rFonts w:ascii="Arial" w:hAnsi="Arial" w:cs="Arial"/>
          <w:color w:val="000000" w:themeColor="text1"/>
        </w:rPr>
        <w:t xml:space="preserve">to income </w:t>
      </w:r>
      <w:r w:rsidR="00707568">
        <w:rPr>
          <w:rFonts w:ascii="Arial" w:hAnsi="Arial" w:cs="Arial"/>
          <w:color w:val="000000" w:themeColor="text1"/>
        </w:rPr>
        <w:t>ratios</w:t>
      </w:r>
      <w:r w:rsidR="00A923F5">
        <w:rPr>
          <w:rFonts w:ascii="Arial" w:hAnsi="Arial" w:cs="Arial"/>
          <w:color w:val="000000" w:themeColor="text1"/>
        </w:rPr>
        <w:t xml:space="preserve"> and loan to value ratios</w:t>
      </w:r>
      <w:r w:rsidR="00A70243">
        <w:rPr>
          <w:rFonts w:ascii="Arial" w:hAnsi="Arial" w:cs="Arial"/>
          <w:color w:val="000000" w:themeColor="text1"/>
        </w:rPr>
        <w:t xml:space="preserve">, private </w:t>
      </w:r>
      <w:r w:rsidR="00A70243">
        <w:rPr>
          <w:rFonts w:ascii="Arial" w:hAnsi="Arial" w:cs="Arial"/>
          <w:color w:val="000000" w:themeColor="text1"/>
        </w:rPr>
        <w:lastRenderedPageBreak/>
        <w:t>lending focuss</w:t>
      </w:r>
      <w:r w:rsidR="00A9656F">
        <w:rPr>
          <w:rFonts w:ascii="Arial" w:hAnsi="Arial" w:cs="Arial"/>
          <w:color w:val="000000" w:themeColor="text1"/>
        </w:rPr>
        <w:t>es mostly</w:t>
      </w:r>
      <w:r w:rsidR="00A70243">
        <w:rPr>
          <w:rFonts w:ascii="Arial" w:hAnsi="Arial" w:cs="Arial"/>
          <w:color w:val="000000" w:themeColor="text1"/>
        </w:rPr>
        <w:t xml:space="preserve"> on the property, ensuring that there is a healthy loan to value ratio. </w:t>
      </w:r>
      <w:r w:rsidR="00A9656F">
        <w:rPr>
          <w:rFonts w:ascii="Arial" w:hAnsi="Arial" w:cs="Arial"/>
          <w:color w:val="000000" w:themeColor="text1"/>
        </w:rPr>
        <w:t>P</w:t>
      </w:r>
      <w:r w:rsidR="00A70243">
        <w:rPr>
          <w:rFonts w:ascii="Arial" w:hAnsi="Arial" w:cs="Arial"/>
          <w:color w:val="000000" w:themeColor="text1"/>
        </w:rPr>
        <w:t>rospective borrowers</w:t>
      </w:r>
      <w:r w:rsidR="00A9656F">
        <w:rPr>
          <w:rFonts w:ascii="Arial" w:hAnsi="Arial" w:cs="Arial"/>
          <w:color w:val="000000" w:themeColor="text1"/>
        </w:rPr>
        <w:t xml:space="preserve"> generally turn to private mortgage solutions when they do not have the required income to qualify for a conventional mortgage – for this reason, private mortgage underwriting </w:t>
      </w:r>
      <w:r w:rsidR="000176FD">
        <w:rPr>
          <w:rFonts w:ascii="Arial" w:hAnsi="Arial" w:cs="Arial"/>
          <w:color w:val="000000" w:themeColor="text1"/>
        </w:rPr>
        <w:t>generally assesses whether</w:t>
      </w:r>
      <w:r w:rsidR="00A9656F">
        <w:rPr>
          <w:rFonts w:ascii="Arial" w:hAnsi="Arial" w:cs="Arial"/>
          <w:color w:val="000000" w:themeColor="text1"/>
        </w:rPr>
        <w:t xml:space="preserve"> the private mortgage borrower has </w:t>
      </w:r>
      <w:r w:rsidR="00072050">
        <w:rPr>
          <w:rFonts w:ascii="Arial" w:hAnsi="Arial" w:cs="Arial"/>
          <w:color w:val="000000" w:themeColor="text1"/>
        </w:rPr>
        <w:t>the capacity to make mortgage paymen</w:t>
      </w:r>
      <w:r w:rsidR="00031B62">
        <w:rPr>
          <w:rFonts w:ascii="Arial" w:hAnsi="Arial" w:cs="Arial"/>
          <w:color w:val="000000" w:themeColor="text1"/>
        </w:rPr>
        <w:t xml:space="preserve">ts or </w:t>
      </w:r>
      <w:r w:rsidR="00A9656F">
        <w:rPr>
          <w:rFonts w:ascii="Arial" w:hAnsi="Arial" w:cs="Arial"/>
          <w:color w:val="000000" w:themeColor="text1"/>
        </w:rPr>
        <w:t xml:space="preserve">a viable exit strategy for the mortgage. </w:t>
      </w:r>
      <w:r w:rsidR="00654CB7">
        <w:rPr>
          <w:rFonts w:ascii="Arial" w:hAnsi="Arial" w:cs="Arial"/>
          <w:color w:val="000000" w:themeColor="text1"/>
        </w:rPr>
        <w:t xml:space="preserve">For instance, </w:t>
      </w:r>
      <w:r w:rsidR="004232F2">
        <w:rPr>
          <w:rFonts w:ascii="Arial" w:hAnsi="Arial" w:cs="Arial"/>
          <w:color w:val="000000" w:themeColor="text1"/>
        </w:rPr>
        <w:t xml:space="preserve">private mortgage </w:t>
      </w:r>
      <w:r w:rsidR="00654CB7">
        <w:rPr>
          <w:rFonts w:ascii="Arial" w:hAnsi="Arial" w:cs="Arial"/>
          <w:color w:val="000000" w:themeColor="text1"/>
        </w:rPr>
        <w:t>borrower</w:t>
      </w:r>
      <w:r w:rsidR="004232F2">
        <w:rPr>
          <w:rFonts w:ascii="Arial" w:hAnsi="Arial" w:cs="Arial"/>
          <w:color w:val="000000" w:themeColor="text1"/>
        </w:rPr>
        <w:t>s</w:t>
      </w:r>
      <w:r w:rsidR="00654CB7">
        <w:rPr>
          <w:rFonts w:ascii="Arial" w:hAnsi="Arial" w:cs="Arial"/>
          <w:color w:val="000000" w:themeColor="text1"/>
        </w:rPr>
        <w:t xml:space="preserve"> who may not qualify for a conventional mortgage could include:</w:t>
      </w:r>
    </w:p>
    <w:p w14:paraId="29E444F8" w14:textId="0CE3BC87" w:rsidR="00654CB7" w:rsidRDefault="00654CB7" w:rsidP="00654CB7">
      <w:pPr>
        <w:pStyle w:val="NormalWeb"/>
        <w:numPr>
          <w:ilvl w:val="0"/>
          <w:numId w:val="3"/>
        </w:numPr>
        <w:rPr>
          <w:rFonts w:ascii="Arial" w:hAnsi="Arial" w:cs="Arial"/>
          <w:color w:val="000000" w:themeColor="text1"/>
        </w:rPr>
      </w:pPr>
      <w:r>
        <w:rPr>
          <w:rFonts w:ascii="Arial" w:hAnsi="Arial" w:cs="Arial"/>
          <w:color w:val="000000" w:themeColor="text1"/>
        </w:rPr>
        <w:t>separated spouse</w:t>
      </w:r>
      <w:r w:rsidR="00582F70">
        <w:rPr>
          <w:rFonts w:ascii="Arial" w:hAnsi="Arial" w:cs="Arial"/>
          <w:color w:val="000000" w:themeColor="text1"/>
        </w:rPr>
        <w:t>s</w:t>
      </w:r>
      <w:r>
        <w:rPr>
          <w:rFonts w:ascii="Arial" w:hAnsi="Arial" w:cs="Arial"/>
          <w:color w:val="000000" w:themeColor="text1"/>
        </w:rPr>
        <w:t xml:space="preserve"> waiting for a divorce settlement but in the interim need</w:t>
      </w:r>
      <w:r w:rsidR="000176FD">
        <w:rPr>
          <w:rFonts w:ascii="Arial" w:hAnsi="Arial" w:cs="Arial"/>
          <w:color w:val="000000" w:themeColor="text1"/>
        </w:rPr>
        <w:t xml:space="preserve"> </w:t>
      </w:r>
      <w:r>
        <w:rPr>
          <w:rFonts w:ascii="Arial" w:hAnsi="Arial" w:cs="Arial"/>
          <w:color w:val="000000" w:themeColor="text1"/>
        </w:rPr>
        <w:t>to refinance their home or purchase a new home;</w:t>
      </w:r>
    </w:p>
    <w:p w14:paraId="479630D8" w14:textId="4163FE4C" w:rsidR="000C5B41" w:rsidRDefault="000C5B41" w:rsidP="00654CB7">
      <w:pPr>
        <w:pStyle w:val="NormalWeb"/>
        <w:numPr>
          <w:ilvl w:val="0"/>
          <w:numId w:val="3"/>
        </w:numPr>
        <w:rPr>
          <w:rFonts w:ascii="Arial" w:hAnsi="Arial" w:cs="Arial"/>
          <w:color w:val="000000" w:themeColor="text1"/>
        </w:rPr>
      </w:pPr>
      <w:r>
        <w:rPr>
          <w:rFonts w:ascii="Arial" w:hAnsi="Arial" w:cs="Arial"/>
          <w:color w:val="000000" w:themeColor="text1"/>
        </w:rPr>
        <w:t>homeowner</w:t>
      </w:r>
      <w:r w:rsidR="00582F70">
        <w:rPr>
          <w:rFonts w:ascii="Arial" w:hAnsi="Arial" w:cs="Arial"/>
          <w:color w:val="000000" w:themeColor="text1"/>
        </w:rPr>
        <w:t>s</w:t>
      </w:r>
      <w:r>
        <w:rPr>
          <w:rFonts w:ascii="Arial" w:hAnsi="Arial" w:cs="Arial"/>
          <w:color w:val="000000" w:themeColor="text1"/>
        </w:rPr>
        <w:t xml:space="preserve"> who </w:t>
      </w:r>
      <w:r w:rsidR="00582F70">
        <w:rPr>
          <w:rFonts w:ascii="Arial" w:hAnsi="Arial" w:cs="Arial"/>
          <w:color w:val="000000" w:themeColor="text1"/>
        </w:rPr>
        <w:t>are</w:t>
      </w:r>
      <w:r>
        <w:rPr>
          <w:rFonts w:ascii="Arial" w:hAnsi="Arial" w:cs="Arial"/>
          <w:color w:val="000000" w:themeColor="text1"/>
        </w:rPr>
        <w:t xml:space="preserve"> unable to qualify for a conventional mortgage due to being in-between </w:t>
      </w:r>
      <w:proofErr w:type="gramStart"/>
      <w:r>
        <w:rPr>
          <w:rFonts w:ascii="Arial" w:hAnsi="Arial" w:cs="Arial"/>
          <w:color w:val="000000" w:themeColor="text1"/>
        </w:rPr>
        <w:t>jobs;</w:t>
      </w:r>
      <w:proofErr w:type="gramEnd"/>
    </w:p>
    <w:p w14:paraId="3B3719CA" w14:textId="6BDC02DE" w:rsidR="00654CB7" w:rsidRDefault="003F0C5A" w:rsidP="00654CB7">
      <w:pPr>
        <w:pStyle w:val="NormalWeb"/>
        <w:numPr>
          <w:ilvl w:val="0"/>
          <w:numId w:val="3"/>
        </w:numPr>
        <w:rPr>
          <w:rFonts w:ascii="Arial" w:hAnsi="Arial" w:cs="Arial"/>
          <w:color w:val="000000" w:themeColor="text1"/>
        </w:rPr>
      </w:pPr>
      <w:r>
        <w:rPr>
          <w:rFonts w:ascii="Arial" w:hAnsi="Arial" w:cs="Arial"/>
          <w:color w:val="000000" w:themeColor="text1"/>
        </w:rPr>
        <w:t>borrower</w:t>
      </w:r>
      <w:r w:rsidR="00582F70">
        <w:rPr>
          <w:rFonts w:ascii="Arial" w:hAnsi="Arial" w:cs="Arial"/>
          <w:color w:val="000000" w:themeColor="text1"/>
        </w:rPr>
        <w:t>s</w:t>
      </w:r>
      <w:r>
        <w:rPr>
          <w:rFonts w:ascii="Arial" w:hAnsi="Arial" w:cs="Arial"/>
          <w:color w:val="000000" w:themeColor="text1"/>
        </w:rPr>
        <w:t xml:space="preserve"> </w:t>
      </w:r>
      <w:r w:rsidR="000176FD">
        <w:rPr>
          <w:rFonts w:ascii="Arial" w:hAnsi="Arial" w:cs="Arial"/>
          <w:color w:val="000000" w:themeColor="text1"/>
        </w:rPr>
        <w:t xml:space="preserve">who </w:t>
      </w:r>
      <w:r>
        <w:rPr>
          <w:rFonts w:ascii="Arial" w:hAnsi="Arial" w:cs="Arial"/>
          <w:color w:val="000000" w:themeColor="text1"/>
        </w:rPr>
        <w:t>need</w:t>
      </w:r>
      <w:r w:rsidR="00582F70">
        <w:rPr>
          <w:rFonts w:ascii="Arial" w:hAnsi="Arial" w:cs="Arial"/>
          <w:color w:val="000000" w:themeColor="text1"/>
        </w:rPr>
        <w:t xml:space="preserve"> </w:t>
      </w:r>
      <w:r>
        <w:rPr>
          <w:rFonts w:ascii="Arial" w:hAnsi="Arial" w:cs="Arial"/>
          <w:color w:val="000000" w:themeColor="text1"/>
        </w:rPr>
        <w:t xml:space="preserve">a mortgage whilst they have damaged credit, and </w:t>
      </w:r>
      <w:r w:rsidR="00582F70">
        <w:rPr>
          <w:rFonts w:ascii="Arial" w:hAnsi="Arial" w:cs="Arial"/>
          <w:color w:val="000000" w:themeColor="text1"/>
        </w:rPr>
        <w:t>are</w:t>
      </w:r>
      <w:r w:rsidR="000176FD">
        <w:rPr>
          <w:rFonts w:ascii="Arial" w:hAnsi="Arial" w:cs="Arial"/>
          <w:color w:val="000000" w:themeColor="text1"/>
        </w:rPr>
        <w:t xml:space="preserve"> </w:t>
      </w:r>
      <w:r>
        <w:rPr>
          <w:rFonts w:ascii="Arial" w:hAnsi="Arial" w:cs="Arial"/>
          <w:color w:val="000000" w:themeColor="text1"/>
        </w:rPr>
        <w:t xml:space="preserve">embarking on a plan to repair their credit in order to qualify at a later date for a conventional </w:t>
      </w:r>
      <w:proofErr w:type="gramStart"/>
      <w:r>
        <w:rPr>
          <w:rFonts w:ascii="Arial" w:hAnsi="Arial" w:cs="Arial"/>
          <w:color w:val="000000" w:themeColor="text1"/>
        </w:rPr>
        <w:t>mortgage;</w:t>
      </w:r>
      <w:proofErr w:type="gramEnd"/>
    </w:p>
    <w:p w14:paraId="55B99859" w14:textId="1328C2EA" w:rsidR="009247D7" w:rsidRDefault="002678D8" w:rsidP="00654CB7">
      <w:pPr>
        <w:pStyle w:val="NormalWeb"/>
        <w:numPr>
          <w:ilvl w:val="0"/>
          <w:numId w:val="3"/>
        </w:numPr>
        <w:rPr>
          <w:rFonts w:ascii="Arial" w:hAnsi="Arial" w:cs="Arial"/>
          <w:color w:val="000000" w:themeColor="text1"/>
        </w:rPr>
      </w:pPr>
      <w:r>
        <w:rPr>
          <w:rFonts w:ascii="Arial" w:hAnsi="Arial" w:cs="Arial"/>
          <w:color w:val="000000" w:themeColor="text1"/>
        </w:rPr>
        <w:t>homeowner</w:t>
      </w:r>
      <w:r w:rsidR="00582F70">
        <w:rPr>
          <w:rFonts w:ascii="Arial" w:hAnsi="Arial" w:cs="Arial"/>
          <w:color w:val="000000" w:themeColor="text1"/>
        </w:rPr>
        <w:t>s</w:t>
      </w:r>
      <w:r w:rsidR="00273C56">
        <w:rPr>
          <w:rFonts w:ascii="Arial" w:hAnsi="Arial" w:cs="Arial"/>
          <w:color w:val="000000" w:themeColor="text1"/>
        </w:rPr>
        <w:t xml:space="preserve"> </w:t>
      </w:r>
      <w:r w:rsidR="000176FD">
        <w:rPr>
          <w:rFonts w:ascii="Arial" w:hAnsi="Arial" w:cs="Arial"/>
          <w:color w:val="000000" w:themeColor="text1"/>
        </w:rPr>
        <w:t xml:space="preserve">who </w:t>
      </w:r>
      <w:r w:rsidR="00273C56">
        <w:rPr>
          <w:rFonts w:ascii="Arial" w:hAnsi="Arial" w:cs="Arial"/>
          <w:color w:val="000000" w:themeColor="text1"/>
        </w:rPr>
        <w:t>need</w:t>
      </w:r>
      <w:r w:rsidR="000176FD">
        <w:rPr>
          <w:rFonts w:ascii="Arial" w:hAnsi="Arial" w:cs="Arial"/>
          <w:color w:val="000000" w:themeColor="text1"/>
        </w:rPr>
        <w:t xml:space="preserve"> </w:t>
      </w:r>
      <w:r w:rsidR="00273C56">
        <w:rPr>
          <w:rFonts w:ascii="Arial" w:hAnsi="Arial" w:cs="Arial"/>
          <w:color w:val="000000" w:themeColor="text1"/>
        </w:rPr>
        <w:t xml:space="preserve">a mortgage while waiting for a payout from the sale of  investments, an inheritance or another source of </w:t>
      </w:r>
      <w:proofErr w:type="gramStart"/>
      <w:r w:rsidR="00273C56">
        <w:rPr>
          <w:rFonts w:ascii="Arial" w:hAnsi="Arial" w:cs="Arial"/>
          <w:color w:val="000000" w:themeColor="text1"/>
        </w:rPr>
        <w:t>funds;</w:t>
      </w:r>
      <w:proofErr w:type="gramEnd"/>
    </w:p>
    <w:p w14:paraId="4EC651C9" w14:textId="64A9C11B" w:rsidR="00273C56" w:rsidRDefault="002678D8" w:rsidP="00654CB7">
      <w:pPr>
        <w:pStyle w:val="NormalWeb"/>
        <w:numPr>
          <w:ilvl w:val="0"/>
          <w:numId w:val="3"/>
        </w:numPr>
        <w:rPr>
          <w:rFonts w:ascii="Arial" w:hAnsi="Arial" w:cs="Arial"/>
          <w:color w:val="000000" w:themeColor="text1"/>
        </w:rPr>
      </w:pPr>
      <w:r>
        <w:rPr>
          <w:rFonts w:ascii="Arial" w:hAnsi="Arial" w:cs="Arial"/>
          <w:color w:val="000000" w:themeColor="text1"/>
        </w:rPr>
        <w:t>homeowner</w:t>
      </w:r>
      <w:r w:rsidR="00582F70">
        <w:rPr>
          <w:rFonts w:ascii="Arial" w:hAnsi="Arial" w:cs="Arial"/>
          <w:color w:val="000000" w:themeColor="text1"/>
        </w:rPr>
        <w:t>s</w:t>
      </w:r>
      <w:r w:rsidR="00273C56">
        <w:rPr>
          <w:rFonts w:ascii="Arial" w:hAnsi="Arial" w:cs="Arial"/>
          <w:color w:val="000000" w:themeColor="text1"/>
        </w:rPr>
        <w:t xml:space="preserve"> who </w:t>
      </w:r>
      <w:r w:rsidR="00582F70">
        <w:rPr>
          <w:rFonts w:ascii="Arial" w:hAnsi="Arial" w:cs="Arial"/>
          <w:color w:val="000000" w:themeColor="text1"/>
        </w:rPr>
        <w:t>are</w:t>
      </w:r>
      <w:r w:rsidR="00273C56">
        <w:rPr>
          <w:rFonts w:ascii="Arial" w:hAnsi="Arial" w:cs="Arial"/>
          <w:color w:val="000000" w:themeColor="text1"/>
        </w:rPr>
        <w:t xml:space="preserve"> unable to renew a mortgage due to default and ha</w:t>
      </w:r>
      <w:r w:rsidR="00582F70">
        <w:rPr>
          <w:rFonts w:ascii="Arial" w:hAnsi="Arial" w:cs="Arial"/>
          <w:color w:val="000000" w:themeColor="text1"/>
        </w:rPr>
        <w:t>ve</w:t>
      </w:r>
      <w:r w:rsidR="00273C56">
        <w:rPr>
          <w:rFonts w:ascii="Arial" w:hAnsi="Arial" w:cs="Arial"/>
          <w:color w:val="000000" w:themeColor="text1"/>
        </w:rPr>
        <w:t xml:space="preserve"> the property on the market or pending sale</w:t>
      </w:r>
      <w:r w:rsidR="004232F2">
        <w:rPr>
          <w:rFonts w:ascii="Arial" w:hAnsi="Arial" w:cs="Arial"/>
          <w:color w:val="000000" w:themeColor="text1"/>
        </w:rPr>
        <w:t>;</w:t>
      </w:r>
      <w:r w:rsidR="00E1289B">
        <w:rPr>
          <w:rFonts w:ascii="Arial" w:hAnsi="Arial" w:cs="Arial"/>
          <w:color w:val="000000" w:themeColor="text1"/>
        </w:rPr>
        <w:t xml:space="preserve"> or</w:t>
      </w:r>
    </w:p>
    <w:p w14:paraId="5B17341C" w14:textId="16071465" w:rsidR="00D0137D" w:rsidRDefault="004232F2" w:rsidP="000E0692">
      <w:pPr>
        <w:pStyle w:val="NormalWeb"/>
        <w:numPr>
          <w:ilvl w:val="0"/>
          <w:numId w:val="3"/>
        </w:numPr>
        <w:rPr>
          <w:rFonts w:ascii="Arial" w:hAnsi="Arial" w:cs="Arial"/>
          <w:color w:val="000000" w:themeColor="text1"/>
        </w:rPr>
      </w:pPr>
      <w:r w:rsidRPr="002678D8">
        <w:rPr>
          <w:rFonts w:ascii="Arial" w:hAnsi="Arial" w:cs="Arial"/>
          <w:color w:val="000000" w:themeColor="text1"/>
        </w:rPr>
        <w:t>property developer</w:t>
      </w:r>
      <w:r w:rsidR="00582F70">
        <w:rPr>
          <w:rFonts w:ascii="Arial" w:hAnsi="Arial" w:cs="Arial"/>
          <w:color w:val="000000" w:themeColor="text1"/>
        </w:rPr>
        <w:t>s</w:t>
      </w:r>
      <w:r w:rsidRPr="002678D8">
        <w:rPr>
          <w:rFonts w:ascii="Arial" w:hAnsi="Arial" w:cs="Arial"/>
          <w:color w:val="000000" w:themeColor="text1"/>
        </w:rPr>
        <w:t xml:space="preserve"> requir</w:t>
      </w:r>
      <w:r w:rsidR="002521E9">
        <w:rPr>
          <w:rFonts w:ascii="Arial" w:hAnsi="Arial" w:cs="Arial"/>
          <w:color w:val="000000" w:themeColor="text1"/>
        </w:rPr>
        <w:t>ing</w:t>
      </w:r>
      <w:r w:rsidRPr="002678D8">
        <w:rPr>
          <w:rFonts w:ascii="Arial" w:hAnsi="Arial" w:cs="Arial"/>
          <w:color w:val="000000" w:themeColor="text1"/>
        </w:rPr>
        <w:t xml:space="preserve"> construction funds to subdivide land or build condos</w:t>
      </w:r>
      <w:r w:rsidR="002678D8" w:rsidRPr="002678D8">
        <w:rPr>
          <w:rFonts w:ascii="Arial" w:hAnsi="Arial" w:cs="Arial"/>
          <w:color w:val="000000" w:themeColor="text1"/>
        </w:rPr>
        <w:t xml:space="preserve">, </w:t>
      </w:r>
      <w:r w:rsidR="002521E9">
        <w:rPr>
          <w:rFonts w:ascii="Arial" w:hAnsi="Arial" w:cs="Arial"/>
          <w:color w:val="000000" w:themeColor="text1"/>
        </w:rPr>
        <w:t>who will</w:t>
      </w:r>
      <w:r w:rsidR="002678D8" w:rsidRPr="002678D8">
        <w:rPr>
          <w:rFonts w:ascii="Arial" w:hAnsi="Arial" w:cs="Arial"/>
          <w:color w:val="000000" w:themeColor="text1"/>
        </w:rPr>
        <w:t xml:space="preserve"> repay the mortgage upon the sale of the subdivided units.</w:t>
      </w:r>
      <w:r w:rsidRPr="002678D8">
        <w:rPr>
          <w:rFonts w:ascii="Arial" w:hAnsi="Arial" w:cs="Arial"/>
          <w:color w:val="000000" w:themeColor="text1"/>
        </w:rPr>
        <w:t xml:space="preserve"> </w:t>
      </w:r>
    </w:p>
    <w:p w14:paraId="01B12322" w14:textId="50147EC1" w:rsidR="0033610A" w:rsidRDefault="0033610A" w:rsidP="0033610A">
      <w:pPr>
        <w:pStyle w:val="NormalWeb"/>
        <w:rPr>
          <w:rFonts w:ascii="Arial" w:hAnsi="Arial" w:cs="Arial"/>
          <w:color w:val="000000" w:themeColor="text1"/>
        </w:rPr>
      </w:pPr>
      <w:r>
        <w:rPr>
          <w:rFonts w:ascii="Arial" w:hAnsi="Arial" w:cs="Arial"/>
          <w:color w:val="000000" w:themeColor="text1"/>
        </w:rPr>
        <w:t>If private lenders were required to ensure that borrowers could afford the mortgage payments, m</w:t>
      </w:r>
      <w:r w:rsidR="008B6A2F">
        <w:rPr>
          <w:rFonts w:ascii="Arial" w:hAnsi="Arial" w:cs="Arial"/>
          <w:color w:val="000000" w:themeColor="text1"/>
        </w:rPr>
        <w:t>any</w:t>
      </w:r>
      <w:r>
        <w:rPr>
          <w:rFonts w:ascii="Arial" w:hAnsi="Arial" w:cs="Arial"/>
          <w:color w:val="000000" w:themeColor="text1"/>
        </w:rPr>
        <w:t xml:space="preserve"> borrowers would simply not qualify for the mortgage. This would put them in a predicament where they would not be able to find a viable mortgage solution to their </w:t>
      </w:r>
      <w:r w:rsidR="000C5B41">
        <w:rPr>
          <w:rFonts w:ascii="Arial" w:hAnsi="Arial" w:cs="Arial"/>
          <w:color w:val="000000" w:themeColor="text1"/>
        </w:rPr>
        <w:t xml:space="preserve">financing challenges. A borrower in default for instance, may not be able to stave off </w:t>
      </w:r>
      <w:r w:rsidR="00C74B9F">
        <w:rPr>
          <w:rFonts w:ascii="Arial" w:hAnsi="Arial" w:cs="Arial"/>
          <w:color w:val="000000" w:themeColor="text1"/>
        </w:rPr>
        <w:t xml:space="preserve">a power of sale </w:t>
      </w:r>
      <w:r w:rsidR="00BA1BA7">
        <w:rPr>
          <w:rFonts w:ascii="Arial" w:hAnsi="Arial" w:cs="Arial"/>
          <w:color w:val="000000" w:themeColor="text1"/>
        </w:rPr>
        <w:t xml:space="preserve">or foreclosure </w:t>
      </w:r>
      <w:r w:rsidR="00C74B9F">
        <w:rPr>
          <w:rFonts w:ascii="Arial" w:hAnsi="Arial" w:cs="Arial"/>
          <w:color w:val="000000" w:themeColor="text1"/>
        </w:rPr>
        <w:t>proceeding</w:t>
      </w:r>
      <w:r w:rsidR="000C5B41">
        <w:rPr>
          <w:rFonts w:ascii="Arial" w:hAnsi="Arial" w:cs="Arial"/>
          <w:color w:val="000000" w:themeColor="text1"/>
        </w:rPr>
        <w:t xml:space="preserve"> by obtaining alternative mortgage funds to tide them over pending </w:t>
      </w:r>
      <w:r w:rsidR="00E15A62">
        <w:rPr>
          <w:rFonts w:ascii="Arial" w:hAnsi="Arial" w:cs="Arial"/>
          <w:color w:val="000000" w:themeColor="text1"/>
        </w:rPr>
        <w:t xml:space="preserve">the implementation of </w:t>
      </w:r>
      <w:r w:rsidR="000176FD">
        <w:rPr>
          <w:rFonts w:ascii="Arial" w:hAnsi="Arial" w:cs="Arial"/>
          <w:color w:val="000000" w:themeColor="text1"/>
        </w:rPr>
        <w:t>their own solution.</w:t>
      </w:r>
      <w:r w:rsidR="000C5B41">
        <w:rPr>
          <w:rFonts w:ascii="Arial" w:hAnsi="Arial" w:cs="Arial"/>
          <w:color w:val="000000" w:themeColor="text1"/>
        </w:rPr>
        <w:t xml:space="preserve"> The </w:t>
      </w:r>
      <w:r w:rsidR="00D17171">
        <w:rPr>
          <w:rFonts w:ascii="Arial" w:hAnsi="Arial" w:cs="Arial"/>
          <w:color w:val="000000" w:themeColor="text1"/>
        </w:rPr>
        <w:t>default action</w:t>
      </w:r>
      <w:r w:rsidR="000C5B41">
        <w:rPr>
          <w:rFonts w:ascii="Arial" w:hAnsi="Arial" w:cs="Arial"/>
          <w:color w:val="000000" w:themeColor="text1"/>
        </w:rPr>
        <w:t xml:space="preserve"> is likely to cost them</w:t>
      </w:r>
      <w:r w:rsidR="00D17171">
        <w:rPr>
          <w:rFonts w:ascii="Arial" w:hAnsi="Arial" w:cs="Arial"/>
          <w:color w:val="000000" w:themeColor="text1"/>
        </w:rPr>
        <w:t xml:space="preserve"> much more than the private mortgage financing, in terms of </w:t>
      </w:r>
      <w:r w:rsidR="00BA1BA7">
        <w:rPr>
          <w:rFonts w:ascii="Arial" w:hAnsi="Arial" w:cs="Arial"/>
          <w:color w:val="000000" w:themeColor="text1"/>
        </w:rPr>
        <w:t xml:space="preserve">both </w:t>
      </w:r>
      <w:r w:rsidR="00D17171">
        <w:rPr>
          <w:rFonts w:ascii="Arial" w:hAnsi="Arial" w:cs="Arial"/>
          <w:color w:val="000000" w:themeColor="text1"/>
        </w:rPr>
        <w:t>dollars and credit standing.</w:t>
      </w:r>
    </w:p>
    <w:p w14:paraId="14E7202E" w14:textId="7F6E3626" w:rsidR="007923C7" w:rsidRDefault="00B35FD1" w:rsidP="007923C7">
      <w:pPr>
        <w:pStyle w:val="NormalWeb"/>
        <w:rPr>
          <w:rFonts w:ascii="Arial" w:hAnsi="Arial" w:cs="Arial"/>
          <w:color w:val="000000" w:themeColor="text1"/>
        </w:rPr>
      </w:pPr>
      <w:r>
        <w:rPr>
          <w:rFonts w:ascii="Arial" w:hAnsi="Arial" w:cs="Arial"/>
          <w:color w:val="000000" w:themeColor="text1"/>
        </w:rPr>
        <w:t xml:space="preserve">We </w:t>
      </w:r>
      <w:r w:rsidR="004103AF">
        <w:rPr>
          <w:rFonts w:ascii="Arial" w:hAnsi="Arial" w:cs="Arial"/>
          <w:color w:val="000000" w:themeColor="text1"/>
        </w:rPr>
        <w:t xml:space="preserve">note that </w:t>
      </w:r>
      <w:r w:rsidR="007923C7">
        <w:rPr>
          <w:rFonts w:ascii="Arial" w:hAnsi="Arial" w:cs="Arial"/>
          <w:color w:val="000000" w:themeColor="text1"/>
        </w:rPr>
        <w:t xml:space="preserve"> many private mortgages </w:t>
      </w:r>
      <w:r w:rsidR="003070B4">
        <w:rPr>
          <w:rFonts w:ascii="Arial" w:hAnsi="Arial" w:cs="Arial"/>
          <w:color w:val="000000" w:themeColor="text1"/>
        </w:rPr>
        <w:t xml:space="preserve">include fully prepaid loans so that no payments are due during the term of the </w:t>
      </w:r>
      <w:proofErr w:type="gramStart"/>
      <w:r w:rsidR="003070B4">
        <w:rPr>
          <w:rFonts w:ascii="Arial" w:hAnsi="Arial" w:cs="Arial"/>
          <w:color w:val="000000" w:themeColor="text1"/>
        </w:rPr>
        <w:t>mortgage</w:t>
      </w:r>
      <w:proofErr w:type="gramEnd"/>
      <w:r w:rsidR="003070B4">
        <w:rPr>
          <w:rFonts w:ascii="Arial" w:hAnsi="Arial" w:cs="Arial"/>
          <w:color w:val="000000" w:themeColor="text1"/>
        </w:rPr>
        <w:t xml:space="preserve"> or an amount is included for the borrower to keep in order to make payments during the term.</w:t>
      </w:r>
      <w:r w:rsidR="004103AF">
        <w:rPr>
          <w:rFonts w:ascii="Arial" w:hAnsi="Arial" w:cs="Arial"/>
          <w:color w:val="000000" w:themeColor="text1"/>
        </w:rPr>
        <w:t xml:space="preserve"> While this helps to ensure that the private mortgage </w:t>
      </w:r>
      <w:r w:rsidR="00E1289B">
        <w:rPr>
          <w:rFonts w:ascii="Arial" w:hAnsi="Arial" w:cs="Arial"/>
          <w:color w:val="000000" w:themeColor="text1"/>
        </w:rPr>
        <w:t>is kept current, it likely would not satisfy a regulatory requirement to provide the investor with “documentation of the borrower’s ability to pay the mortgage”.</w:t>
      </w:r>
      <w:r>
        <w:rPr>
          <w:rFonts w:ascii="Arial" w:hAnsi="Arial" w:cs="Arial"/>
          <w:color w:val="000000" w:themeColor="text1"/>
        </w:rPr>
        <w:t xml:space="preserve"> </w:t>
      </w:r>
    </w:p>
    <w:p w14:paraId="195477B5" w14:textId="0EF1D58A" w:rsidR="00B35FD1" w:rsidRDefault="00B35FD1" w:rsidP="007923C7">
      <w:pPr>
        <w:pStyle w:val="NormalWeb"/>
        <w:rPr>
          <w:rFonts w:ascii="Arial" w:hAnsi="Arial" w:cs="Arial"/>
          <w:color w:val="000000" w:themeColor="text1"/>
        </w:rPr>
      </w:pPr>
      <w:r>
        <w:rPr>
          <w:rFonts w:ascii="Arial" w:hAnsi="Arial" w:cs="Arial"/>
          <w:color w:val="000000" w:themeColor="text1"/>
        </w:rPr>
        <w:t xml:space="preserve">Deterring mortgage fraud and predatory lending activity is </w:t>
      </w:r>
      <w:r w:rsidR="003F65CC">
        <w:rPr>
          <w:rFonts w:ascii="Arial" w:hAnsi="Arial" w:cs="Arial"/>
          <w:color w:val="000000" w:themeColor="text1"/>
        </w:rPr>
        <w:t xml:space="preserve">essential to a healthy and thriving private mortgage industry. Predatory lending activity which includes “mortgage churning” and “equity grinding” through successive short terms and charging excessive fees, costs and interest, </w:t>
      </w:r>
      <w:r w:rsidR="008B6A2F">
        <w:rPr>
          <w:rFonts w:ascii="Arial" w:hAnsi="Arial" w:cs="Arial"/>
          <w:color w:val="000000" w:themeColor="text1"/>
        </w:rPr>
        <w:t>is clearly a problematic and should be a focus of consumer protection rules.</w:t>
      </w:r>
      <w:r w:rsidR="009B080C">
        <w:rPr>
          <w:rFonts w:ascii="Arial" w:hAnsi="Arial" w:cs="Arial"/>
          <w:color w:val="000000" w:themeColor="text1"/>
        </w:rPr>
        <w:t xml:space="preserve"> </w:t>
      </w:r>
      <w:r w:rsidR="005D598A">
        <w:rPr>
          <w:rFonts w:ascii="Arial" w:hAnsi="Arial" w:cs="Arial"/>
          <w:color w:val="000000" w:themeColor="text1"/>
        </w:rPr>
        <w:t xml:space="preserve">This predatory lending activity should however be distinguished from responsible private mortgage lending </w:t>
      </w:r>
      <w:r w:rsidR="00DF1C9D">
        <w:rPr>
          <w:rFonts w:ascii="Arial" w:hAnsi="Arial" w:cs="Arial"/>
          <w:color w:val="000000" w:themeColor="text1"/>
        </w:rPr>
        <w:t xml:space="preserve">which </w:t>
      </w:r>
      <w:r w:rsidR="006E6099">
        <w:rPr>
          <w:rFonts w:ascii="Arial" w:hAnsi="Arial" w:cs="Arial"/>
          <w:color w:val="000000" w:themeColor="text1"/>
        </w:rPr>
        <w:t xml:space="preserve">frequently </w:t>
      </w:r>
      <w:r w:rsidR="00DF1C9D">
        <w:rPr>
          <w:rFonts w:ascii="Arial" w:hAnsi="Arial" w:cs="Arial"/>
          <w:color w:val="000000" w:themeColor="text1"/>
        </w:rPr>
        <w:t xml:space="preserve">relies on borrower exit strategies to approve </w:t>
      </w:r>
      <w:proofErr w:type="spellStart"/>
      <w:r w:rsidR="00DF1C9D">
        <w:rPr>
          <w:rFonts w:ascii="Arial" w:hAnsi="Arial" w:cs="Arial"/>
          <w:color w:val="000000" w:themeColor="text1"/>
        </w:rPr>
        <w:t xml:space="preserve">mortgages. </w:t>
      </w:r>
      <w:proofErr w:type="spellEnd"/>
      <w:r w:rsidR="00DF1C9D">
        <w:rPr>
          <w:rFonts w:ascii="Arial" w:hAnsi="Arial" w:cs="Arial"/>
          <w:color w:val="000000" w:themeColor="text1"/>
        </w:rPr>
        <w:t>Accordingly, i</w:t>
      </w:r>
      <w:r w:rsidR="001A2C75">
        <w:rPr>
          <w:rFonts w:ascii="Arial" w:hAnsi="Arial" w:cs="Arial"/>
          <w:color w:val="000000" w:themeColor="text1"/>
        </w:rPr>
        <w:t xml:space="preserve">n order to ensure that the majority of compliant private lenders can continue to lend, we recommend that you consider amending the </w:t>
      </w:r>
      <w:r w:rsidR="001A2C75">
        <w:rPr>
          <w:rFonts w:ascii="Arial" w:hAnsi="Arial" w:cs="Arial"/>
          <w:color w:val="000000" w:themeColor="text1"/>
        </w:rPr>
        <w:lastRenderedPageBreak/>
        <w:t>language in the guidance and checklist so that documentary evidence is provided to the lender or investor of the borrower’s</w:t>
      </w:r>
      <w:r w:rsidR="006E6099">
        <w:rPr>
          <w:rFonts w:ascii="Arial" w:hAnsi="Arial" w:cs="Arial"/>
          <w:color w:val="000000" w:themeColor="text1"/>
        </w:rPr>
        <w:t>:</w:t>
      </w:r>
    </w:p>
    <w:p w14:paraId="4221C9FE" w14:textId="52F52E6F" w:rsidR="001A2C75" w:rsidRPr="001A2C75" w:rsidRDefault="001A2C75" w:rsidP="001A2C75">
      <w:pPr>
        <w:pStyle w:val="NormalWeb"/>
        <w:numPr>
          <w:ilvl w:val="0"/>
          <w:numId w:val="4"/>
        </w:numPr>
        <w:rPr>
          <w:rFonts w:ascii="Arial" w:hAnsi="Arial" w:cs="Arial"/>
          <w:b/>
          <w:bCs/>
          <w:i/>
          <w:iCs/>
          <w:color w:val="000000" w:themeColor="text1"/>
        </w:rPr>
      </w:pPr>
      <w:r>
        <w:rPr>
          <w:rFonts w:ascii="Arial" w:hAnsi="Arial" w:cs="Arial"/>
          <w:color w:val="000000" w:themeColor="text1"/>
        </w:rPr>
        <w:t xml:space="preserve">Ability to meet the mortgage payments; </w:t>
      </w:r>
      <w:r w:rsidRPr="001A2C75">
        <w:rPr>
          <w:rFonts w:ascii="Arial" w:hAnsi="Arial" w:cs="Arial"/>
          <w:b/>
          <w:bCs/>
          <w:i/>
          <w:iCs/>
          <w:color w:val="000000" w:themeColor="text1"/>
        </w:rPr>
        <w:t>or</w:t>
      </w:r>
    </w:p>
    <w:p w14:paraId="491FB942" w14:textId="4C06B11D" w:rsidR="001A2C75" w:rsidRPr="001A2C75" w:rsidRDefault="001A2C75" w:rsidP="001A2C75">
      <w:pPr>
        <w:pStyle w:val="NormalWeb"/>
        <w:numPr>
          <w:ilvl w:val="0"/>
          <w:numId w:val="4"/>
        </w:numPr>
        <w:rPr>
          <w:rFonts w:ascii="Arial" w:hAnsi="Arial" w:cs="Arial"/>
          <w:b/>
          <w:bCs/>
          <w:i/>
          <w:iCs/>
          <w:color w:val="000000" w:themeColor="text1"/>
        </w:rPr>
      </w:pPr>
      <w:r w:rsidRPr="001A2C75">
        <w:rPr>
          <w:rFonts w:ascii="Arial" w:hAnsi="Arial" w:cs="Arial"/>
          <w:b/>
          <w:bCs/>
          <w:i/>
          <w:iCs/>
          <w:color w:val="000000" w:themeColor="text1"/>
        </w:rPr>
        <w:t>Viable plan to repay the mortgage using an exit strategy.</w:t>
      </w:r>
    </w:p>
    <w:p w14:paraId="0D40BD1B" w14:textId="5D1D7598" w:rsidR="00BA1BA7" w:rsidRDefault="001A2C75" w:rsidP="007923C7">
      <w:pPr>
        <w:pStyle w:val="NormalWeb"/>
        <w:rPr>
          <w:rFonts w:ascii="Arial" w:hAnsi="Arial" w:cs="Arial"/>
          <w:color w:val="000000" w:themeColor="text1"/>
        </w:rPr>
      </w:pPr>
      <w:r>
        <w:rPr>
          <w:rFonts w:ascii="Arial" w:hAnsi="Arial" w:cs="Arial"/>
          <w:color w:val="000000" w:themeColor="text1"/>
        </w:rPr>
        <w:t>In addition, you may wish to consider limit</w:t>
      </w:r>
      <w:r w:rsidR="005D598A">
        <w:rPr>
          <w:rFonts w:ascii="Arial" w:hAnsi="Arial" w:cs="Arial"/>
          <w:color w:val="000000" w:themeColor="text1"/>
        </w:rPr>
        <w:t>ing</w:t>
      </w:r>
      <w:r>
        <w:rPr>
          <w:rFonts w:ascii="Arial" w:hAnsi="Arial" w:cs="Arial"/>
          <w:color w:val="000000" w:themeColor="text1"/>
        </w:rPr>
        <w:t xml:space="preserve"> the scope of the guidance </w:t>
      </w:r>
      <w:r w:rsidR="005D598A">
        <w:rPr>
          <w:rFonts w:ascii="Arial" w:hAnsi="Arial" w:cs="Arial"/>
          <w:color w:val="000000" w:themeColor="text1"/>
        </w:rPr>
        <w:t>to consumer mortgage loans which are not for commercial or investment purposes, as commercial mortgage borrowers and investors are more sophisticated and generally do not require the same consumer protection measures.</w:t>
      </w:r>
    </w:p>
    <w:p w14:paraId="4E352A73" w14:textId="5701EDEF" w:rsidR="005D598A" w:rsidRDefault="005D598A" w:rsidP="007923C7">
      <w:pPr>
        <w:pStyle w:val="NormalWeb"/>
        <w:rPr>
          <w:rFonts w:ascii="Arial" w:hAnsi="Arial" w:cs="Arial"/>
        </w:rPr>
      </w:pPr>
      <w:r>
        <w:rPr>
          <w:rFonts w:ascii="Arial" w:hAnsi="Arial" w:cs="Arial"/>
          <w:color w:val="000000" w:themeColor="text1"/>
        </w:rPr>
        <w:t xml:space="preserve">We appreciate FSRA’s focus on preventing mortgage fraud, and in particular, the goals and measures set out in </w:t>
      </w:r>
      <w:r>
        <w:rPr>
          <w:rFonts w:ascii="Arial" w:hAnsi="Arial" w:cs="Arial"/>
        </w:rPr>
        <w:t>MB0044INT</w:t>
      </w:r>
      <w:r w:rsidR="00DF1C9D">
        <w:rPr>
          <w:rFonts w:ascii="Arial" w:hAnsi="Arial" w:cs="Arial"/>
        </w:rPr>
        <w:t xml:space="preserve">. Thank you for the opportunity to provide comments on this important document. Please know </w:t>
      </w:r>
      <w:r w:rsidR="00E15A62">
        <w:rPr>
          <w:rFonts w:ascii="Arial" w:hAnsi="Arial" w:cs="Arial"/>
        </w:rPr>
        <w:t xml:space="preserve">that </w:t>
      </w:r>
      <w:r w:rsidR="00DF1C9D">
        <w:rPr>
          <w:rFonts w:ascii="Arial" w:hAnsi="Arial" w:cs="Arial"/>
        </w:rPr>
        <w:t>we are available to discuss these issues more fully if you wish.</w:t>
      </w:r>
    </w:p>
    <w:p w14:paraId="3F0E0CBC" w14:textId="19FBCB97" w:rsidR="00DF1C9D" w:rsidRDefault="00DF1C9D" w:rsidP="007923C7">
      <w:pPr>
        <w:pStyle w:val="NormalWeb"/>
        <w:rPr>
          <w:rFonts w:ascii="Arial" w:hAnsi="Arial" w:cs="Arial"/>
          <w:color w:val="000000" w:themeColor="text1"/>
        </w:rPr>
      </w:pPr>
      <w:r w:rsidRPr="00DF1C9D">
        <w:rPr>
          <w:rFonts w:ascii="Arial" w:hAnsi="Arial" w:cs="Arial"/>
        </w:rPr>
        <w:t>Yours truly,</w:t>
      </w:r>
    </w:p>
    <w:p w14:paraId="65DE1D57" w14:textId="559B2E57" w:rsidR="00E1289B" w:rsidRDefault="006E6099" w:rsidP="007923C7">
      <w:pPr>
        <w:pStyle w:val="NormalWeb"/>
        <w:rPr>
          <w:rFonts w:ascii="Arial" w:hAnsi="Arial" w:cs="Arial"/>
          <w:color w:val="000000" w:themeColor="text1"/>
        </w:rPr>
      </w:pPr>
      <w:r>
        <w:rPr>
          <w:rFonts w:ascii="Arial" w:hAnsi="Arial" w:cs="Arial"/>
          <w:color w:val="000000" w:themeColor="text1"/>
        </w:rPr>
        <w:t>Samantha Gale</w:t>
      </w:r>
    </w:p>
    <w:p w14:paraId="5252DC9D" w14:textId="77777777" w:rsidR="007923C7" w:rsidRPr="002678D8" w:rsidRDefault="007923C7" w:rsidP="007923C7">
      <w:pPr>
        <w:pStyle w:val="NormalWeb"/>
        <w:rPr>
          <w:rFonts w:ascii="Arial" w:hAnsi="Arial" w:cs="Arial"/>
          <w:color w:val="000000" w:themeColor="text1"/>
        </w:rPr>
      </w:pPr>
    </w:p>
    <w:p w14:paraId="2E9EB8E7" w14:textId="77777777" w:rsidR="0063378F" w:rsidRPr="0063378F" w:rsidRDefault="0063378F" w:rsidP="009258B9">
      <w:pPr>
        <w:pStyle w:val="NormalWeb"/>
        <w:rPr>
          <w:rFonts w:ascii="Arial" w:hAnsi="Arial" w:cs="Arial"/>
          <w:color w:val="000000" w:themeColor="text1"/>
        </w:rPr>
      </w:pPr>
    </w:p>
    <w:p w14:paraId="6014F63E" w14:textId="4BBD565B" w:rsidR="009258B9" w:rsidRDefault="009258B9" w:rsidP="009258B9">
      <w:pPr>
        <w:pStyle w:val="NormalWeb"/>
        <w:rPr>
          <w:rFonts w:ascii="SymbolMT" w:hAnsi="SymbolMT"/>
          <w:color w:val="EA4F23"/>
        </w:rPr>
      </w:pPr>
      <w:r w:rsidRPr="009258B9">
        <w:rPr>
          <w:rFonts w:ascii="Arial" w:hAnsi="Arial" w:cs="Arial"/>
          <w:color w:val="000000" w:themeColor="text1"/>
        </w:rPr>
        <w:t xml:space="preserve"> </w:t>
      </w:r>
    </w:p>
    <w:p w14:paraId="7671A309" w14:textId="1F379ACB" w:rsidR="009B0925" w:rsidRDefault="009B0925" w:rsidP="009B0925">
      <w:pPr>
        <w:shd w:val="clear" w:color="auto" w:fill="FFFFFF"/>
        <w:spacing w:before="100" w:beforeAutospacing="1" w:after="100" w:afterAutospacing="1"/>
        <w:rPr>
          <w:rFonts w:ascii="Arial" w:hAnsi="Arial" w:cs="Arial"/>
          <w:color w:val="030303"/>
          <w:sz w:val="26"/>
          <w:szCs w:val="26"/>
          <w:shd w:val="clear" w:color="auto" w:fill="FFFFFF"/>
        </w:rPr>
      </w:pPr>
    </w:p>
    <w:p w14:paraId="3B2EEC55" w14:textId="77777777" w:rsidR="003F239D" w:rsidRDefault="003F239D" w:rsidP="009B0925">
      <w:pPr>
        <w:shd w:val="clear" w:color="auto" w:fill="FFFFFF"/>
        <w:spacing w:before="100" w:beforeAutospacing="1" w:after="100" w:afterAutospacing="1"/>
        <w:rPr>
          <w:rFonts w:ascii="Arial" w:hAnsi="Arial" w:cs="Arial"/>
        </w:rPr>
      </w:pPr>
    </w:p>
    <w:p w14:paraId="47E7B20D" w14:textId="09524FF9" w:rsidR="00FD17A4" w:rsidRDefault="00FD17A4" w:rsidP="009B0925">
      <w:pPr>
        <w:shd w:val="clear" w:color="auto" w:fill="FFFFFF"/>
        <w:spacing w:before="100" w:beforeAutospacing="1" w:after="100" w:afterAutospacing="1"/>
        <w:rPr>
          <w:rFonts w:ascii="Arial" w:hAnsi="Arial" w:cs="Arial"/>
        </w:rPr>
      </w:pPr>
    </w:p>
    <w:p w14:paraId="3F26C542" w14:textId="77777777" w:rsidR="00750208" w:rsidRPr="009B0925" w:rsidRDefault="00750208" w:rsidP="009B0925">
      <w:pPr>
        <w:shd w:val="clear" w:color="auto" w:fill="FFFFFF"/>
        <w:spacing w:before="100" w:beforeAutospacing="1" w:after="100" w:afterAutospacing="1"/>
        <w:rPr>
          <w:rFonts w:ascii="Arial" w:hAnsi="Arial" w:cs="Arial"/>
        </w:rPr>
      </w:pPr>
    </w:p>
    <w:p w14:paraId="7D31154B" w14:textId="77777777" w:rsidR="00FD2978" w:rsidRPr="00FD2978" w:rsidRDefault="00FD2978" w:rsidP="00FD2978">
      <w:pPr>
        <w:pStyle w:val="NormalWeb"/>
        <w:shd w:val="clear" w:color="auto" w:fill="FFFFFF"/>
        <w:rPr>
          <w:u w:val="single"/>
        </w:rPr>
      </w:pPr>
    </w:p>
    <w:p w14:paraId="7B04C846" w14:textId="6D2327C4" w:rsidR="00DF70B0" w:rsidRDefault="00DF70B0" w:rsidP="00956E48">
      <w:pPr>
        <w:spacing w:after="240" w:line="375" w:lineRule="atLeast"/>
        <w:rPr>
          <w:rFonts w:ascii="Arial" w:hAnsi="Arial" w:cs="Arial"/>
          <w:color w:val="030303"/>
          <w:sz w:val="26"/>
          <w:szCs w:val="26"/>
        </w:rPr>
      </w:pPr>
    </w:p>
    <w:p w14:paraId="111A99F5" w14:textId="77777777" w:rsidR="00A229BF" w:rsidRDefault="00A229BF" w:rsidP="00956E48">
      <w:pPr>
        <w:spacing w:after="240" w:line="375" w:lineRule="atLeast"/>
        <w:rPr>
          <w:rFonts w:ascii="Arial" w:hAnsi="Arial" w:cs="Arial"/>
          <w:color w:val="030303"/>
          <w:sz w:val="26"/>
          <w:szCs w:val="26"/>
        </w:rPr>
      </w:pPr>
    </w:p>
    <w:p w14:paraId="2BB85948" w14:textId="43610992" w:rsidR="00E72D97" w:rsidRDefault="00E72D97" w:rsidP="00956E48">
      <w:pPr>
        <w:spacing w:after="123" w:line="375" w:lineRule="atLeast"/>
        <w:rPr>
          <w:rFonts w:ascii="Arial" w:hAnsi="Arial" w:cs="Arial"/>
          <w:color w:val="030303"/>
        </w:rPr>
      </w:pPr>
      <w:r>
        <w:rPr>
          <w:rFonts w:ascii="Arial" w:hAnsi="Arial" w:cs="Arial"/>
          <w:color w:val="030303"/>
        </w:rPr>
        <w:t xml:space="preserve">should not apply to commercial/non-consumer loans </w:t>
      </w:r>
    </w:p>
    <w:p w14:paraId="272C49F3" w14:textId="77777777" w:rsidR="00E72D97" w:rsidRDefault="00E72D97" w:rsidP="00956E48">
      <w:pPr>
        <w:spacing w:after="123" w:line="375" w:lineRule="atLeast"/>
        <w:rPr>
          <w:rFonts w:ascii="Arial" w:hAnsi="Arial" w:cs="Arial"/>
          <w:color w:val="030303"/>
        </w:rPr>
      </w:pPr>
    </w:p>
    <w:p w14:paraId="30D252D5" w14:textId="77777777" w:rsidR="00010993" w:rsidRPr="00956E48" w:rsidRDefault="00010993" w:rsidP="00956E48">
      <w:pPr>
        <w:spacing w:after="123" w:line="375" w:lineRule="atLeast"/>
        <w:rPr>
          <w:rFonts w:ascii="Arial" w:hAnsi="Arial" w:cs="Arial"/>
          <w:color w:val="030303"/>
        </w:rPr>
      </w:pPr>
    </w:p>
    <w:p w14:paraId="09F4C099" w14:textId="77777777" w:rsidR="00956E48" w:rsidRDefault="00956E48"/>
    <w:sectPr w:rsidR="00956E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5F54"/>
    <w:multiLevelType w:val="hybridMultilevel"/>
    <w:tmpl w:val="AE7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C6277"/>
    <w:multiLevelType w:val="multilevel"/>
    <w:tmpl w:val="721C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0E38"/>
    <w:multiLevelType w:val="hybridMultilevel"/>
    <w:tmpl w:val="4A4A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54388"/>
    <w:multiLevelType w:val="multilevel"/>
    <w:tmpl w:val="0E7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8"/>
    <w:rsid w:val="00010993"/>
    <w:rsid w:val="000176FD"/>
    <w:rsid w:val="00031B62"/>
    <w:rsid w:val="00072050"/>
    <w:rsid w:val="000C5B41"/>
    <w:rsid w:val="001A2C75"/>
    <w:rsid w:val="002521E9"/>
    <w:rsid w:val="002678D8"/>
    <w:rsid w:val="00273C56"/>
    <w:rsid w:val="002D6065"/>
    <w:rsid w:val="003070B4"/>
    <w:rsid w:val="00330F65"/>
    <w:rsid w:val="0033610A"/>
    <w:rsid w:val="00371186"/>
    <w:rsid w:val="003F0C5A"/>
    <w:rsid w:val="003F239D"/>
    <w:rsid w:val="003F65CC"/>
    <w:rsid w:val="004103AF"/>
    <w:rsid w:val="004232F2"/>
    <w:rsid w:val="0050398B"/>
    <w:rsid w:val="00582F70"/>
    <w:rsid w:val="005D598A"/>
    <w:rsid w:val="00615388"/>
    <w:rsid w:val="0063378F"/>
    <w:rsid w:val="00654CB7"/>
    <w:rsid w:val="006E6099"/>
    <w:rsid w:val="00707568"/>
    <w:rsid w:val="00750208"/>
    <w:rsid w:val="007923C7"/>
    <w:rsid w:val="007E5889"/>
    <w:rsid w:val="00883F71"/>
    <w:rsid w:val="008B6A2F"/>
    <w:rsid w:val="008C50A3"/>
    <w:rsid w:val="009247D7"/>
    <w:rsid w:val="009258B9"/>
    <w:rsid w:val="00956E48"/>
    <w:rsid w:val="009B080C"/>
    <w:rsid w:val="009B0925"/>
    <w:rsid w:val="00A229BF"/>
    <w:rsid w:val="00A70243"/>
    <w:rsid w:val="00A923F5"/>
    <w:rsid w:val="00A9656F"/>
    <w:rsid w:val="00B07DEA"/>
    <w:rsid w:val="00B35FD1"/>
    <w:rsid w:val="00BA109B"/>
    <w:rsid w:val="00BA1BA7"/>
    <w:rsid w:val="00BB5DD6"/>
    <w:rsid w:val="00C1441C"/>
    <w:rsid w:val="00C74B9F"/>
    <w:rsid w:val="00D0137D"/>
    <w:rsid w:val="00D164AE"/>
    <w:rsid w:val="00D17171"/>
    <w:rsid w:val="00DF196E"/>
    <w:rsid w:val="00DF1C9D"/>
    <w:rsid w:val="00DF70B0"/>
    <w:rsid w:val="00E1289B"/>
    <w:rsid w:val="00E15A62"/>
    <w:rsid w:val="00E57403"/>
    <w:rsid w:val="00E72D97"/>
    <w:rsid w:val="00EC38FD"/>
    <w:rsid w:val="00EC58B0"/>
    <w:rsid w:val="00F076DB"/>
    <w:rsid w:val="00FD17A4"/>
    <w:rsid w:val="00FD2978"/>
    <w:rsid w:val="00FE3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E2E45F"/>
  <w15:chartTrackingRefBased/>
  <w15:docId w15:val="{04BA9AE4-B96E-3D4F-8C40-D8278E5A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E48"/>
    <w:pPr>
      <w:spacing w:before="100" w:beforeAutospacing="1" w:after="100" w:afterAutospacing="1"/>
    </w:pPr>
  </w:style>
  <w:style w:type="character" w:customStyle="1" w:styleId="apple-converted-space">
    <w:name w:val="apple-converted-space"/>
    <w:basedOn w:val="DefaultParagraphFont"/>
    <w:rsid w:val="0050398B"/>
  </w:style>
  <w:style w:type="paragraph" w:styleId="ListParagraph">
    <w:name w:val="List Paragraph"/>
    <w:basedOn w:val="Normal"/>
    <w:uiPriority w:val="34"/>
    <w:qFormat/>
    <w:rsid w:val="0050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133">
      <w:bodyDiv w:val="1"/>
      <w:marLeft w:val="0"/>
      <w:marRight w:val="0"/>
      <w:marTop w:val="0"/>
      <w:marBottom w:val="0"/>
      <w:divBdr>
        <w:top w:val="none" w:sz="0" w:space="0" w:color="auto"/>
        <w:left w:val="none" w:sz="0" w:space="0" w:color="auto"/>
        <w:bottom w:val="none" w:sz="0" w:space="0" w:color="auto"/>
        <w:right w:val="none" w:sz="0" w:space="0" w:color="auto"/>
      </w:divBdr>
      <w:divsChild>
        <w:div w:id="1509179143">
          <w:marLeft w:val="0"/>
          <w:marRight w:val="0"/>
          <w:marTop w:val="0"/>
          <w:marBottom w:val="0"/>
          <w:divBdr>
            <w:top w:val="none" w:sz="0" w:space="0" w:color="auto"/>
            <w:left w:val="none" w:sz="0" w:space="0" w:color="auto"/>
            <w:bottom w:val="none" w:sz="0" w:space="0" w:color="auto"/>
            <w:right w:val="none" w:sz="0" w:space="0" w:color="auto"/>
          </w:divBdr>
          <w:divsChild>
            <w:div w:id="1140807178">
              <w:marLeft w:val="0"/>
              <w:marRight w:val="0"/>
              <w:marTop w:val="0"/>
              <w:marBottom w:val="0"/>
              <w:divBdr>
                <w:top w:val="none" w:sz="0" w:space="0" w:color="auto"/>
                <w:left w:val="none" w:sz="0" w:space="0" w:color="auto"/>
                <w:bottom w:val="none" w:sz="0" w:space="0" w:color="auto"/>
                <w:right w:val="none" w:sz="0" w:space="0" w:color="auto"/>
              </w:divBdr>
              <w:divsChild>
                <w:div w:id="643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8971">
      <w:bodyDiv w:val="1"/>
      <w:marLeft w:val="0"/>
      <w:marRight w:val="0"/>
      <w:marTop w:val="0"/>
      <w:marBottom w:val="0"/>
      <w:divBdr>
        <w:top w:val="none" w:sz="0" w:space="0" w:color="auto"/>
        <w:left w:val="none" w:sz="0" w:space="0" w:color="auto"/>
        <w:bottom w:val="none" w:sz="0" w:space="0" w:color="auto"/>
        <w:right w:val="none" w:sz="0" w:space="0" w:color="auto"/>
      </w:divBdr>
      <w:divsChild>
        <w:div w:id="157891256">
          <w:marLeft w:val="0"/>
          <w:marRight w:val="0"/>
          <w:marTop w:val="0"/>
          <w:marBottom w:val="0"/>
          <w:divBdr>
            <w:top w:val="none" w:sz="0" w:space="0" w:color="auto"/>
            <w:left w:val="none" w:sz="0" w:space="0" w:color="auto"/>
            <w:bottom w:val="none" w:sz="0" w:space="0" w:color="auto"/>
            <w:right w:val="none" w:sz="0" w:space="0" w:color="auto"/>
          </w:divBdr>
          <w:divsChild>
            <w:div w:id="2135559693">
              <w:marLeft w:val="0"/>
              <w:marRight w:val="0"/>
              <w:marTop w:val="0"/>
              <w:marBottom w:val="0"/>
              <w:divBdr>
                <w:top w:val="none" w:sz="0" w:space="0" w:color="auto"/>
                <w:left w:val="none" w:sz="0" w:space="0" w:color="auto"/>
                <w:bottom w:val="none" w:sz="0" w:space="0" w:color="auto"/>
                <w:right w:val="none" w:sz="0" w:space="0" w:color="auto"/>
              </w:divBdr>
              <w:divsChild>
                <w:div w:id="505511281">
                  <w:marLeft w:val="0"/>
                  <w:marRight w:val="0"/>
                  <w:marTop w:val="0"/>
                  <w:marBottom w:val="0"/>
                  <w:divBdr>
                    <w:top w:val="none" w:sz="0" w:space="0" w:color="auto"/>
                    <w:left w:val="none" w:sz="0" w:space="0" w:color="auto"/>
                    <w:bottom w:val="none" w:sz="0" w:space="0" w:color="auto"/>
                    <w:right w:val="none" w:sz="0" w:space="0" w:color="auto"/>
                  </w:divBdr>
                  <w:divsChild>
                    <w:div w:id="199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6369">
      <w:bodyDiv w:val="1"/>
      <w:marLeft w:val="0"/>
      <w:marRight w:val="0"/>
      <w:marTop w:val="0"/>
      <w:marBottom w:val="0"/>
      <w:divBdr>
        <w:top w:val="none" w:sz="0" w:space="0" w:color="auto"/>
        <w:left w:val="none" w:sz="0" w:space="0" w:color="auto"/>
        <w:bottom w:val="none" w:sz="0" w:space="0" w:color="auto"/>
        <w:right w:val="none" w:sz="0" w:space="0" w:color="auto"/>
      </w:divBdr>
    </w:div>
    <w:div w:id="1747455752">
      <w:bodyDiv w:val="1"/>
      <w:marLeft w:val="0"/>
      <w:marRight w:val="0"/>
      <w:marTop w:val="0"/>
      <w:marBottom w:val="0"/>
      <w:divBdr>
        <w:top w:val="none" w:sz="0" w:space="0" w:color="auto"/>
        <w:left w:val="none" w:sz="0" w:space="0" w:color="auto"/>
        <w:bottom w:val="none" w:sz="0" w:space="0" w:color="auto"/>
        <w:right w:val="none" w:sz="0" w:space="0" w:color="auto"/>
      </w:divBdr>
    </w:div>
    <w:div w:id="1832452828">
      <w:bodyDiv w:val="1"/>
      <w:marLeft w:val="0"/>
      <w:marRight w:val="0"/>
      <w:marTop w:val="0"/>
      <w:marBottom w:val="0"/>
      <w:divBdr>
        <w:top w:val="none" w:sz="0" w:space="0" w:color="auto"/>
        <w:left w:val="none" w:sz="0" w:space="0" w:color="auto"/>
        <w:bottom w:val="none" w:sz="0" w:space="0" w:color="auto"/>
        <w:right w:val="none" w:sz="0" w:space="0" w:color="auto"/>
      </w:divBdr>
    </w:div>
    <w:div w:id="1870991221">
      <w:bodyDiv w:val="1"/>
      <w:marLeft w:val="0"/>
      <w:marRight w:val="0"/>
      <w:marTop w:val="0"/>
      <w:marBottom w:val="0"/>
      <w:divBdr>
        <w:top w:val="none" w:sz="0" w:space="0" w:color="auto"/>
        <w:left w:val="none" w:sz="0" w:space="0" w:color="auto"/>
        <w:bottom w:val="none" w:sz="0" w:space="0" w:color="auto"/>
        <w:right w:val="none" w:sz="0" w:space="0" w:color="auto"/>
      </w:divBdr>
    </w:div>
    <w:div w:id="2064281358">
      <w:bodyDiv w:val="1"/>
      <w:marLeft w:val="0"/>
      <w:marRight w:val="0"/>
      <w:marTop w:val="0"/>
      <w:marBottom w:val="0"/>
      <w:divBdr>
        <w:top w:val="none" w:sz="0" w:space="0" w:color="auto"/>
        <w:left w:val="none" w:sz="0" w:space="0" w:color="auto"/>
        <w:bottom w:val="none" w:sz="0" w:space="0" w:color="auto"/>
        <w:right w:val="none" w:sz="0" w:space="0" w:color="auto"/>
      </w:divBdr>
    </w:div>
    <w:div w:id="2116898613">
      <w:bodyDiv w:val="1"/>
      <w:marLeft w:val="0"/>
      <w:marRight w:val="0"/>
      <w:marTop w:val="0"/>
      <w:marBottom w:val="0"/>
      <w:divBdr>
        <w:top w:val="none" w:sz="0" w:space="0" w:color="auto"/>
        <w:left w:val="none" w:sz="0" w:space="0" w:color="auto"/>
        <w:bottom w:val="none" w:sz="0" w:space="0" w:color="auto"/>
        <w:right w:val="none" w:sz="0" w:space="0" w:color="auto"/>
      </w:divBdr>
      <w:divsChild>
        <w:div w:id="175851154">
          <w:marLeft w:val="0"/>
          <w:marRight w:val="0"/>
          <w:marTop w:val="0"/>
          <w:marBottom w:val="0"/>
          <w:divBdr>
            <w:top w:val="none" w:sz="0" w:space="0" w:color="auto"/>
            <w:left w:val="none" w:sz="0" w:space="0" w:color="auto"/>
            <w:bottom w:val="none" w:sz="0" w:space="0" w:color="auto"/>
            <w:right w:val="none" w:sz="0" w:space="0" w:color="auto"/>
          </w:divBdr>
          <w:divsChild>
            <w:div w:id="287589628">
              <w:marLeft w:val="0"/>
              <w:marRight w:val="0"/>
              <w:marTop w:val="0"/>
              <w:marBottom w:val="0"/>
              <w:divBdr>
                <w:top w:val="none" w:sz="0" w:space="0" w:color="auto"/>
                <w:left w:val="none" w:sz="0" w:space="0" w:color="auto"/>
                <w:bottom w:val="none" w:sz="0" w:space="0" w:color="auto"/>
                <w:right w:val="none" w:sz="0" w:space="0" w:color="auto"/>
              </w:divBdr>
              <w:divsChild>
                <w:div w:id="187643528">
                  <w:marLeft w:val="0"/>
                  <w:marRight w:val="0"/>
                  <w:marTop w:val="0"/>
                  <w:marBottom w:val="0"/>
                  <w:divBdr>
                    <w:top w:val="none" w:sz="0" w:space="0" w:color="auto"/>
                    <w:left w:val="none" w:sz="0" w:space="0" w:color="auto"/>
                    <w:bottom w:val="none" w:sz="0" w:space="0" w:color="auto"/>
                    <w:right w:val="none" w:sz="0" w:space="0" w:color="auto"/>
                  </w:divBdr>
                  <w:divsChild>
                    <w:div w:id="14604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Samantha Gale</dc:creator>
  <cp:keywords/>
  <dc:description/>
  <cp:lastModifiedBy>C Samantha Gale</cp:lastModifiedBy>
  <cp:revision>2</cp:revision>
  <dcterms:created xsi:type="dcterms:W3CDTF">2022-01-19T20:53:00Z</dcterms:created>
  <dcterms:modified xsi:type="dcterms:W3CDTF">2022-01-19T20:53:00Z</dcterms:modified>
</cp:coreProperties>
</file>