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3E1B" w14:textId="77777777" w:rsidR="004218E2" w:rsidRPr="004218E2" w:rsidRDefault="004218E2" w:rsidP="008035A0">
      <w:pPr>
        <w:spacing w:after="0" w:line="240" w:lineRule="auto"/>
        <w:rPr>
          <w:rFonts w:ascii="Source Sans Pro" w:eastAsia="Source Sans Pro" w:hAnsi="Source Sans Pro" w:cs="Times New Roman"/>
        </w:rPr>
      </w:pPr>
      <w:r w:rsidRPr="004218E2">
        <w:rPr>
          <w:rFonts w:ascii="Source Sans Pro" w:eastAsia="Source Sans Pro" w:hAnsi="Source Sans Pro" w:cs="Times New Roman"/>
        </w:rPr>
        <w:t>FSRA Policy Team</w:t>
      </w:r>
    </w:p>
    <w:p w14:paraId="23F15E76" w14:textId="77777777" w:rsidR="004218E2" w:rsidRPr="004218E2" w:rsidRDefault="004218E2" w:rsidP="004218E2">
      <w:pPr>
        <w:spacing w:after="0" w:line="240" w:lineRule="auto"/>
        <w:rPr>
          <w:rFonts w:ascii="Source Sans Pro" w:eastAsia="Source Sans Pro" w:hAnsi="Source Sans Pro" w:cs="Times New Roman"/>
        </w:rPr>
      </w:pPr>
      <w:r w:rsidRPr="004218E2">
        <w:rPr>
          <w:rFonts w:ascii="Source Sans Pro" w:eastAsia="Source Sans Pro" w:hAnsi="Source Sans Pro" w:cs="Times New Roman"/>
        </w:rPr>
        <w:t>25 Sheppard Avenue West, Suite 100</w:t>
      </w:r>
    </w:p>
    <w:p w14:paraId="7DC1A7BC" w14:textId="77777777" w:rsidR="004218E2" w:rsidRPr="004218E2" w:rsidRDefault="004218E2" w:rsidP="004218E2">
      <w:pPr>
        <w:spacing w:after="0" w:line="240" w:lineRule="auto"/>
        <w:rPr>
          <w:rFonts w:ascii="Source Sans Pro" w:eastAsia="Source Sans Pro" w:hAnsi="Source Sans Pro" w:cs="Times New Roman"/>
        </w:rPr>
      </w:pPr>
      <w:r w:rsidRPr="004218E2">
        <w:rPr>
          <w:rFonts w:ascii="Source Sans Pro" w:eastAsia="Source Sans Pro" w:hAnsi="Source Sans Pro" w:cs="Times New Roman"/>
        </w:rPr>
        <w:t xml:space="preserve">Toronto, ON </w:t>
      </w:r>
    </w:p>
    <w:p w14:paraId="094CD375" w14:textId="77777777" w:rsidR="004218E2" w:rsidRDefault="004218E2" w:rsidP="004218E2">
      <w:pPr>
        <w:spacing w:after="0" w:line="240" w:lineRule="auto"/>
        <w:rPr>
          <w:rFonts w:ascii="Source Sans Pro" w:eastAsia="Source Sans Pro" w:hAnsi="Source Sans Pro" w:cs="Times New Roman"/>
        </w:rPr>
      </w:pPr>
      <w:r w:rsidRPr="004218E2">
        <w:rPr>
          <w:rFonts w:ascii="Source Sans Pro" w:eastAsia="Source Sans Pro" w:hAnsi="Source Sans Pro" w:cs="Times New Roman"/>
        </w:rPr>
        <w:t>M2N 6S6</w:t>
      </w:r>
    </w:p>
    <w:p w14:paraId="6358E23B" w14:textId="77777777" w:rsidR="004218E2" w:rsidRDefault="004218E2" w:rsidP="004218E2">
      <w:pPr>
        <w:spacing w:after="0" w:line="240" w:lineRule="auto"/>
        <w:rPr>
          <w:rFonts w:ascii="Source Sans Pro" w:eastAsia="Source Sans Pro" w:hAnsi="Source Sans Pro" w:cs="Times New Roman"/>
        </w:rPr>
      </w:pPr>
    </w:p>
    <w:p w14:paraId="63EBCA26" w14:textId="7D26986D" w:rsidR="004218E2" w:rsidRDefault="004218E2" w:rsidP="004218E2">
      <w:pPr>
        <w:spacing w:after="0" w:line="240" w:lineRule="auto"/>
        <w:rPr>
          <w:rFonts w:ascii="Source Sans Pro" w:eastAsia="Source Sans Pro" w:hAnsi="Source Sans Pro" w:cs="Times New Roman"/>
        </w:rPr>
      </w:pPr>
      <w:r>
        <w:rPr>
          <w:rFonts w:ascii="Source Sans Pro" w:eastAsia="Source Sans Pro" w:hAnsi="Source Sans Pro" w:cs="Times New Roman"/>
        </w:rPr>
        <w:t xml:space="preserve">Delivered Electronically to </w:t>
      </w:r>
      <w:r w:rsidR="009A0CA5">
        <w:rPr>
          <w:rFonts w:ascii="Source Sans Pro" w:eastAsia="Source Sans Pro" w:hAnsi="Source Sans Pro" w:cs="Times New Roman"/>
        </w:rPr>
        <w:t>Bradley Hodgins</w:t>
      </w:r>
    </w:p>
    <w:p w14:paraId="67B6F00A" w14:textId="77777777" w:rsidR="004218E2" w:rsidRDefault="004218E2" w:rsidP="004218E2">
      <w:pPr>
        <w:spacing w:after="0" w:line="240" w:lineRule="auto"/>
        <w:rPr>
          <w:rFonts w:ascii="Source Sans Pro" w:eastAsia="Source Sans Pro" w:hAnsi="Source Sans Pro" w:cs="Times New Roman"/>
        </w:rPr>
      </w:pPr>
    </w:p>
    <w:p w14:paraId="7023A079" w14:textId="26B913D1" w:rsidR="004218E2" w:rsidRPr="004218E2" w:rsidRDefault="00735C02" w:rsidP="004218E2">
      <w:pPr>
        <w:spacing w:after="0" w:line="240" w:lineRule="auto"/>
        <w:rPr>
          <w:rFonts w:ascii="Source Sans Pro" w:eastAsia="Source Sans Pro" w:hAnsi="Source Sans Pro" w:cs="Times New Roman"/>
        </w:rPr>
      </w:pPr>
      <w:r>
        <w:rPr>
          <w:rFonts w:ascii="Source Sans Pro" w:eastAsia="Source Sans Pro" w:hAnsi="Source Sans Pro" w:cs="Times New Roman"/>
        </w:rPr>
        <w:t xml:space="preserve">September </w:t>
      </w:r>
      <w:r w:rsidR="00E84D5E">
        <w:rPr>
          <w:rFonts w:ascii="Source Sans Pro" w:eastAsia="Source Sans Pro" w:hAnsi="Source Sans Pro" w:cs="Times New Roman"/>
        </w:rPr>
        <w:t>13</w:t>
      </w:r>
      <w:r w:rsidR="004218E2">
        <w:rPr>
          <w:rFonts w:ascii="Source Sans Pro" w:eastAsia="Source Sans Pro" w:hAnsi="Source Sans Pro" w:cs="Times New Roman"/>
        </w:rPr>
        <w:t>, 2021</w:t>
      </w:r>
    </w:p>
    <w:p w14:paraId="21D030EE" w14:textId="77777777" w:rsidR="00252BB8" w:rsidRDefault="00252BB8" w:rsidP="008035A0">
      <w:pPr>
        <w:spacing w:after="0" w:line="240" w:lineRule="auto"/>
        <w:rPr>
          <w:rFonts w:ascii="Source Sans Pro" w:eastAsia="Source Sans Pro" w:hAnsi="Source Sans Pro" w:cs="Times New Roman"/>
          <w:b/>
          <w:bCs/>
          <w:color w:val="5F497A" w:themeColor="accent4" w:themeShade="BF"/>
          <w:sz w:val="28"/>
          <w:szCs w:val="28"/>
        </w:rPr>
      </w:pPr>
    </w:p>
    <w:p w14:paraId="4AF1CE63" w14:textId="77777777" w:rsidR="00BA0002" w:rsidRDefault="004218E2" w:rsidP="008035A0">
      <w:pPr>
        <w:spacing w:after="0" w:line="240" w:lineRule="auto"/>
        <w:rPr>
          <w:rFonts w:ascii="Source Sans Pro" w:eastAsia="Source Sans Pro" w:hAnsi="Source Sans Pro" w:cs="Times New Roman"/>
        </w:rPr>
      </w:pPr>
      <w:r>
        <w:rPr>
          <w:rFonts w:ascii="Source Sans Pro" w:eastAsia="Source Sans Pro" w:hAnsi="Source Sans Pro" w:cs="Times New Roman"/>
        </w:rPr>
        <w:t>To the Readers,</w:t>
      </w:r>
    </w:p>
    <w:p w14:paraId="39878116" w14:textId="77777777" w:rsidR="004218E2" w:rsidRDefault="004218E2" w:rsidP="008035A0">
      <w:pPr>
        <w:spacing w:after="0" w:line="240" w:lineRule="auto"/>
        <w:rPr>
          <w:rFonts w:ascii="Source Sans Pro" w:eastAsia="Source Sans Pro" w:hAnsi="Source Sans Pro" w:cs="Times New Roman"/>
        </w:rPr>
      </w:pPr>
    </w:p>
    <w:p w14:paraId="1E6FE9A8" w14:textId="56C731EC" w:rsidR="005D6417" w:rsidRDefault="006E4658" w:rsidP="008035A0">
      <w:pPr>
        <w:spacing w:after="0" w:line="240" w:lineRule="auto"/>
        <w:rPr>
          <w:rFonts w:ascii="Source Sans Pro" w:eastAsia="Source Sans Pro" w:hAnsi="Source Sans Pro" w:cs="Times New Roman"/>
        </w:rPr>
      </w:pPr>
      <w:r>
        <w:rPr>
          <w:rFonts w:ascii="Source Sans Pro" w:eastAsia="Source Sans Pro" w:hAnsi="Source Sans Pro" w:cs="Times New Roman"/>
        </w:rPr>
        <w:t xml:space="preserve">Meridian, </w:t>
      </w:r>
      <w:r w:rsidR="005D0DC5">
        <w:rPr>
          <w:rFonts w:ascii="Source Sans Pro" w:eastAsia="Source Sans Pro" w:hAnsi="Source Sans Pro" w:cs="Times New Roman"/>
        </w:rPr>
        <w:t>Alterna</w:t>
      </w:r>
      <w:r>
        <w:rPr>
          <w:rFonts w:ascii="Source Sans Pro" w:eastAsia="Source Sans Pro" w:hAnsi="Source Sans Pro" w:cs="Times New Roman"/>
        </w:rPr>
        <w:t xml:space="preserve">, </w:t>
      </w:r>
      <w:r w:rsidR="005D0DC5">
        <w:rPr>
          <w:rFonts w:ascii="Source Sans Pro" w:eastAsia="Source Sans Pro" w:hAnsi="Source Sans Pro" w:cs="Times New Roman"/>
        </w:rPr>
        <w:t>FirstOntario</w:t>
      </w:r>
      <w:r>
        <w:rPr>
          <w:rFonts w:ascii="Source Sans Pro" w:eastAsia="Source Sans Pro" w:hAnsi="Source Sans Pro" w:cs="Times New Roman"/>
        </w:rPr>
        <w:t>, DUCA and Libro</w:t>
      </w:r>
      <w:r w:rsidR="00BA0002">
        <w:rPr>
          <w:rFonts w:ascii="Source Sans Pro" w:eastAsia="Source Sans Pro" w:hAnsi="Source Sans Pro" w:cs="Times New Roman"/>
        </w:rPr>
        <w:t xml:space="preserve"> </w:t>
      </w:r>
      <w:r w:rsidR="00395F1B">
        <w:rPr>
          <w:rFonts w:ascii="Source Sans Pro" w:eastAsia="Source Sans Pro" w:hAnsi="Source Sans Pro" w:cs="Times New Roman"/>
        </w:rPr>
        <w:t>(</w:t>
      </w:r>
      <w:r w:rsidR="009E0E51">
        <w:rPr>
          <w:rFonts w:ascii="Source Sans Pro" w:eastAsia="Source Sans Pro" w:hAnsi="Source Sans Pro" w:cs="Times New Roman"/>
        </w:rPr>
        <w:t xml:space="preserve">hereafter referred to as </w:t>
      </w:r>
      <w:r w:rsidR="00395F1B">
        <w:rPr>
          <w:rFonts w:ascii="Source Sans Pro" w:eastAsia="Source Sans Pro" w:hAnsi="Source Sans Pro" w:cs="Times New Roman"/>
        </w:rPr>
        <w:t>“</w:t>
      </w:r>
      <w:r w:rsidR="009E0E51">
        <w:rPr>
          <w:rFonts w:ascii="Source Sans Pro" w:eastAsia="Source Sans Pro" w:hAnsi="Source Sans Pro" w:cs="Times New Roman"/>
        </w:rPr>
        <w:t>W</w:t>
      </w:r>
      <w:r w:rsidR="00395F1B">
        <w:rPr>
          <w:rFonts w:ascii="Source Sans Pro" w:eastAsia="Source Sans Pro" w:hAnsi="Source Sans Pro" w:cs="Times New Roman"/>
        </w:rPr>
        <w:t xml:space="preserve">e”) </w:t>
      </w:r>
      <w:r w:rsidR="00BA0002">
        <w:rPr>
          <w:rFonts w:ascii="Source Sans Pro" w:eastAsia="Source Sans Pro" w:hAnsi="Source Sans Pro" w:cs="Times New Roman"/>
        </w:rPr>
        <w:t xml:space="preserve">appreciate the opportunity to comment and respond to the public consultation surrounding FSRA’s </w:t>
      </w:r>
      <w:r w:rsidR="0009111D">
        <w:rPr>
          <w:rFonts w:ascii="Source Sans Pro" w:eastAsia="Source Sans Pro" w:hAnsi="Source Sans Pro" w:cs="Times New Roman"/>
        </w:rPr>
        <w:t>Capital Adequacy</w:t>
      </w:r>
      <w:r w:rsidR="004E4500">
        <w:rPr>
          <w:rFonts w:ascii="Source Sans Pro" w:eastAsia="Source Sans Pro" w:hAnsi="Source Sans Pro" w:cs="Times New Roman"/>
        </w:rPr>
        <w:t xml:space="preserve"> Requirements for Credit Unions and Caisses Populaires</w:t>
      </w:r>
      <w:r w:rsidR="005D0DC5">
        <w:rPr>
          <w:rFonts w:ascii="Source Sans Pro" w:eastAsia="Source Sans Pro" w:hAnsi="Source Sans Pro" w:cs="Times New Roman"/>
        </w:rPr>
        <w:t xml:space="preserve"> </w:t>
      </w:r>
      <w:r w:rsidR="009E5F4A">
        <w:rPr>
          <w:rFonts w:ascii="Source Sans Pro" w:eastAsia="Source Sans Pro" w:hAnsi="Source Sans Pro" w:cs="Times New Roman"/>
        </w:rPr>
        <w:t xml:space="preserve">or </w:t>
      </w:r>
      <w:r w:rsidR="005D0DC5">
        <w:rPr>
          <w:rFonts w:ascii="Source Sans Pro" w:eastAsia="Source Sans Pro" w:hAnsi="Source Sans Pro" w:cs="Times New Roman"/>
        </w:rPr>
        <w:t>Rule 2021-00</w:t>
      </w:r>
      <w:r w:rsidR="001C0E74">
        <w:rPr>
          <w:rFonts w:ascii="Source Sans Pro" w:eastAsia="Source Sans Pro" w:hAnsi="Source Sans Pro" w:cs="Times New Roman"/>
        </w:rPr>
        <w:t>5</w:t>
      </w:r>
      <w:r w:rsidR="009E5F4A">
        <w:rPr>
          <w:rFonts w:ascii="Source Sans Pro" w:eastAsia="Source Sans Pro" w:hAnsi="Source Sans Pro" w:cs="Times New Roman"/>
        </w:rPr>
        <w:t xml:space="preserve"> (</w:t>
      </w:r>
      <w:r w:rsidR="00F31FBC">
        <w:rPr>
          <w:rFonts w:ascii="Source Sans Pro" w:eastAsia="Source Sans Pro" w:hAnsi="Source Sans Pro" w:cs="Times New Roman"/>
        </w:rPr>
        <w:t xml:space="preserve">hereafter referred to as </w:t>
      </w:r>
      <w:r w:rsidR="006F1EE6">
        <w:rPr>
          <w:rFonts w:ascii="Source Sans Pro" w:eastAsia="Source Sans Pro" w:hAnsi="Source Sans Pro" w:cs="Times New Roman"/>
        </w:rPr>
        <w:t>“</w:t>
      </w:r>
      <w:r w:rsidR="00E7507A">
        <w:rPr>
          <w:rFonts w:ascii="Source Sans Pro" w:eastAsia="Source Sans Pro" w:hAnsi="Source Sans Pro" w:cs="Times New Roman"/>
        </w:rPr>
        <w:t>the Proposed</w:t>
      </w:r>
      <w:r w:rsidR="006F1EE6">
        <w:rPr>
          <w:rFonts w:ascii="Source Sans Pro" w:eastAsia="Source Sans Pro" w:hAnsi="Source Sans Pro" w:cs="Times New Roman"/>
        </w:rPr>
        <w:t xml:space="preserve"> Rule”</w:t>
      </w:r>
      <w:r w:rsidR="009E5F4A">
        <w:rPr>
          <w:rFonts w:ascii="Source Sans Pro" w:eastAsia="Source Sans Pro" w:hAnsi="Source Sans Pro" w:cs="Times New Roman"/>
        </w:rPr>
        <w:t>)</w:t>
      </w:r>
      <w:r w:rsidR="00BA0002">
        <w:rPr>
          <w:rFonts w:ascii="Source Sans Pro" w:eastAsia="Source Sans Pro" w:hAnsi="Source Sans Pro" w:cs="Times New Roman"/>
        </w:rPr>
        <w:t>.</w:t>
      </w:r>
      <w:r>
        <w:rPr>
          <w:rFonts w:ascii="Source Sans Pro" w:eastAsia="Source Sans Pro" w:hAnsi="Source Sans Pro" w:cs="Times New Roman"/>
        </w:rPr>
        <w:t xml:space="preserve"> FSRA’s willingness to have a conversation around the concerns that we share is helpful and we appreciate </w:t>
      </w:r>
      <w:r w:rsidR="00926814">
        <w:rPr>
          <w:rFonts w:ascii="Source Sans Pro" w:eastAsia="Source Sans Pro" w:hAnsi="Source Sans Pro" w:cs="Times New Roman"/>
        </w:rPr>
        <w:t>your</w:t>
      </w:r>
      <w:r>
        <w:rPr>
          <w:rFonts w:ascii="Source Sans Pro" w:eastAsia="Source Sans Pro" w:hAnsi="Source Sans Pro" w:cs="Times New Roman"/>
        </w:rPr>
        <w:t xml:space="preserve"> openness for dialogue. </w:t>
      </w:r>
    </w:p>
    <w:p w14:paraId="4663A281" w14:textId="77777777" w:rsidR="005D6417" w:rsidRDefault="005D6417" w:rsidP="008035A0">
      <w:pPr>
        <w:spacing w:after="0" w:line="240" w:lineRule="auto"/>
        <w:rPr>
          <w:rFonts w:ascii="Source Sans Pro" w:eastAsia="Source Sans Pro" w:hAnsi="Source Sans Pro" w:cs="Times New Roman"/>
        </w:rPr>
      </w:pPr>
    </w:p>
    <w:p w14:paraId="775E0BD9" w14:textId="77777777" w:rsidR="00BA0002" w:rsidRDefault="004E09DD" w:rsidP="008035A0">
      <w:pPr>
        <w:spacing w:after="0" w:line="240" w:lineRule="auto"/>
        <w:rPr>
          <w:rFonts w:ascii="Source Sans Pro" w:eastAsia="Source Sans Pro" w:hAnsi="Source Sans Pro" w:cs="Times New Roman"/>
        </w:rPr>
      </w:pPr>
      <w:r>
        <w:rPr>
          <w:rFonts w:ascii="Source Sans Pro" w:eastAsia="Source Sans Pro" w:hAnsi="Source Sans Pro" w:cs="Times New Roman"/>
        </w:rPr>
        <w:t xml:space="preserve">Below is a summary of </w:t>
      </w:r>
      <w:r w:rsidR="00AF009B">
        <w:rPr>
          <w:rFonts w:ascii="Source Sans Pro" w:eastAsia="Source Sans Pro" w:hAnsi="Source Sans Pro" w:cs="Times New Roman"/>
        </w:rPr>
        <w:t xml:space="preserve">general themes and </w:t>
      </w:r>
      <w:r>
        <w:rPr>
          <w:rFonts w:ascii="Source Sans Pro" w:eastAsia="Source Sans Pro" w:hAnsi="Source Sans Pro" w:cs="Times New Roman"/>
        </w:rPr>
        <w:t>k</w:t>
      </w:r>
      <w:r w:rsidR="008A3E11">
        <w:rPr>
          <w:rFonts w:ascii="Source Sans Pro" w:eastAsia="Source Sans Pro" w:hAnsi="Source Sans Pro" w:cs="Times New Roman"/>
        </w:rPr>
        <w:t xml:space="preserve">ey </w:t>
      </w:r>
      <w:r w:rsidR="007D2C06">
        <w:rPr>
          <w:rFonts w:ascii="Source Sans Pro" w:eastAsia="Source Sans Pro" w:hAnsi="Source Sans Pro" w:cs="Times New Roman"/>
        </w:rPr>
        <w:t>issues that</w:t>
      </w:r>
      <w:r w:rsidR="00F907D5">
        <w:rPr>
          <w:rFonts w:ascii="Source Sans Pro" w:eastAsia="Source Sans Pro" w:hAnsi="Source Sans Pro" w:cs="Times New Roman"/>
        </w:rPr>
        <w:t xml:space="preserve"> we </w:t>
      </w:r>
      <w:r w:rsidR="00AB4B7E">
        <w:rPr>
          <w:rFonts w:ascii="Source Sans Pro" w:eastAsia="Source Sans Pro" w:hAnsi="Source Sans Pro" w:cs="Times New Roman"/>
        </w:rPr>
        <w:t xml:space="preserve">have </w:t>
      </w:r>
      <w:r w:rsidR="00F907D5">
        <w:rPr>
          <w:rFonts w:ascii="Source Sans Pro" w:eastAsia="Source Sans Pro" w:hAnsi="Source Sans Pro" w:cs="Times New Roman"/>
        </w:rPr>
        <w:t xml:space="preserve">collectively determined to </w:t>
      </w:r>
      <w:r w:rsidR="008A3E11">
        <w:rPr>
          <w:rFonts w:ascii="Source Sans Pro" w:eastAsia="Source Sans Pro" w:hAnsi="Source Sans Pro" w:cs="Times New Roman"/>
        </w:rPr>
        <w:t xml:space="preserve">be of the highest </w:t>
      </w:r>
      <w:r w:rsidR="002E503B">
        <w:rPr>
          <w:rFonts w:ascii="Source Sans Pro" w:eastAsia="Source Sans Pro" w:hAnsi="Source Sans Pro" w:cs="Times New Roman"/>
        </w:rPr>
        <w:t>importance and</w:t>
      </w:r>
      <w:r w:rsidR="00496834">
        <w:rPr>
          <w:rFonts w:ascii="Source Sans Pro" w:eastAsia="Source Sans Pro" w:hAnsi="Source Sans Pro" w:cs="Times New Roman"/>
        </w:rPr>
        <w:t xml:space="preserve"> </w:t>
      </w:r>
      <w:r w:rsidR="00F907D5">
        <w:rPr>
          <w:rFonts w:ascii="Source Sans Pro" w:eastAsia="Source Sans Pro" w:hAnsi="Source Sans Pro" w:cs="Times New Roman"/>
        </w:rPr>
        <w:t xml:space="preserve">require </w:t>
      </w:r>
      <w:r w:rsidR="002B48CF">
        <w:rPr>
          <w:rFonts w:ascii="Source Sans Pro" w:eastAsia="Source Sans Pro" w:hAnsi="Source Sans Pro" w:cs="Times New Roman"/>
        </w:rPr>
        <w:t xml:space="preserve">further </w:t>
      </w:r>
      <w:r w:rsidR="006E4658">
        <w:rPr>
          <w:rFonts w:ascii="Source Sans Pro" w:eastAsia="Source Sans Pro" w:hAnsi="Source Sans Pro" w:cs="Times New Roman"/>
        </w:rPr>
        <w:t xml:space="preserve">dialogue </w:t>
      </w:r>
      <w:r w:rsidR="00AD07DA">
        <w:rPr>
          <w:rFonts w:ascii="Source Sans Pro" w:eastAsia="Source Sans Pro" w:hAnsi="Source Sans Pro" w:cs="Times New Roman"/>
        </w:rPr>
        <w:t xml:space="preserve">and revisions to </w:t>
      </w:r>
      <w:r w:rsidR="00EA0D41">
        <w:rPr>
          <w:rFonts w:ascii="Source Sans Pro" w:eastAsia="Source Sans Pro" w:hAnsi="Source Sans Pro" w:cs="Times New Roman"/>
        </w:rPr>
        <w:t>the Proposed</w:t>
      </w:r>
      <w:r w:rsidR="00AD07DA">
        <w:rPr>
          <w:rFonts w:ascii="Source Sans Pro" w:eastAsia="Source Sans Pro" w:hAnsi="Source Sans Pro" w:cs="Times New Roman"/>
        </w:rPr>
        <w:t xml:space="preserve"> Rule</w:t>
      </w:r>
      <w:r w:rsidR="00005304">
        <w:rPr>
          <w:rFonts w:ascii="Source Sans Pro" w:eastAsia="Source Sans Pro" w:hAnsi="Source Sans Pro" w:cs="Times New Roman"/>
        </w:rPr>
        <w:t xml:space="preserve">. </w:t>
      </w:r>
      <w:r w:rsidR="006E4658">
        <w:rPr>
          <w:rFonts w:ascii="Source Sans Pro" w:eastAsia="Source Sans Pro" w:hAnsi="Source Sans Pro" w:cs="Times New Roman"/>
        </w:rPr>
        <w:t xml:space="preserve">Our current perception is that </w:t>
      </w:r>
      <w:r w:rsidR="00E83171">
        <w:rPr>
          <w:rFonts w:ascii="Source Sans Pro" w:eastAsia="Source Sans Pro" w:hAnsi="Source Sans Pro" w:cs="Times New Roman"/>
        </w:rPr>
        <w:t xml:space="preserve">certain </w:t>
      </w:r>
      <w:r w:rsidR="00E85096">
        <w:rPr>
          <w:rFonts w:ascii="Source Sans Pro" w:eastAsia="Source Sans Pro" w:hAnsi="Source Sans Pro" w:cs="Times New Roman"/>
        </w:rPr>
        <w:t xml:space="preserve">provisions </w:t>
      </w:r>
      <w:r w:rsidR="00E83171">
        <w:rPr>
          <w:rFonts w:ascii="Source Sans Pro" w:eastAsia="Source Sans Pro" w:hAnsi="Source Sans Pro" w:cs="Times New Roman"/>
        </w:rPr>
        <w:t xml:space="preserve">of the </w:t>
      </w:r>
      <w:r w:rsidR="00EA0D41">
        <w:rPr>
          <w:rFonts w:ascii="Source Sans Pro" w:eastAsia="Source Sans Pro" w:hAnsi="Source Sans Pro" w:cs="Times New Roman"/>
        </w:rPr>
        <w:t>Proposed</w:t>
      </w:r>
      <w:r w:rsidR="00E83171">
        <w:rPr>
          <w:rFonts w:ascii="Source Sans Pro" w:eastAsia="Source Sans Pro" w:hAnsi="Source Sans Pro" w:cs="Times New Roman"/>
        </w:rPr>
        <w:t xml:space="preserve"> Rule </w:t>
      </w:r>
      <w:r w:rsidR="008C49AE">
        <w:rPr>
          <w:rFonts w:ascii="Source Sans Pro" w:eastAsia="Source Sans Pro" w:hAnsi="Source Sans Pro" w:cs="Times New Roman"/>
        </w:rPr>
        <w:t xml:space="preserve">do not fully </w:t>
      </w:r>
      <w:r w:rsidR="002605E5">
        <w:rPr>
          <w:rFonts w:ascii="Source Sans Pro" w:eastAsia="Source Sans Pro" w:hAnsi="Source Sans Pro" w:cs="Times New Roman"/>
        </w:rPr>
        <w:t xml:space="preserve">take into consideration </w:t>
      </w:r>
      <w:r w:rsidR="005D22A3">
        <w:rPr>
          <w:rFonts w:ascii="Source Sans Pro" w:eastAsia="Source Sans Pro" w:hAnsi="Source Sans Pro" w:cs="Times New Roman"/>
        </w:rPr>
        <w:t xml:space="preserve">factors unique to the Credit Union sector </w:t>
      </w:r>
      <w:r w:rsidR="00103E99">
        <w:rPr>
          <w:rFonts w:ascii="Source Sans Pro" w:eastAsia="Source Sans Pro" w:hAnsi="Source Sans Pro" w:cs="Times New Roman"/>
        </w:rPr>
        <w:t xml:space="preserve">or </w:t>
      </w:r>
      <w:r w:rsidR="006E4658">
        <w:rPr>
          <w:rFonts w:ascii="Source Sans Pro" w:eastAsia="Source Sans Pro" w:hAnsi="Source Sans Pro" w:cs="Times New Roman"/>
        </w:rPr>
        <w:t xml:space="preserve">may impose burden, cost, </w:t>
      </w:r>
      <w:r w:rsidR="003F6F00">
        <w:rPr>
          <w:rFonts w:ascii="Source Sans Pro" w:eastAsia="Source Sans Pro" w:hAnsi="Source Sans Pro" w:cs="Times New Roman"/>
        </w:rPr>
        <w:t xml:space="preserve">or </w:t>
      </w:r>
      <w:r w:rsidR="006E4658">
        <w:rPr>
          <w:rFonts w:ascii="Source Sans Pro" w:eastAsia="Source Sans Pro" w:hAnsi="Source Sans Pro" w:cs="Times New Roman"/>
        </w:rPr>
        <w:t>operational challenges</w:t>
      </w:r>
      <w:r w:rsidR="00103E99">
        <w:rPr>
          <w:rFonts w:ascii="Source Sans Pro" w:eastAsia="Source Sans Pro" w:hAnsi="Source Sans Pro" w:cs="Times New Roman"/>
        </w:rPr>
        <w:t xml:space="preserve"> </w:t>
      </w:r>
      <w:r w:rsidR="003F6F00">
        <w:rPr>
          <w:rFonts w:ascii="Source Sans Pro" w:eastAsia="Source Sans Pro" w:hAnsi="Source Sans Pro" w:cs="Times New Roman"/>
        </w:rPr>
        <w:t xml:space="preserve">resulting in </w:t>
      </w:r>
      <w:r w:rsidR="005F2C90">
        <w:rPr>
          <w:rFonts w:ascii="Source Sans Pro" w:eastAsia="Source Sans Pro" w:hAnsi="Source Sans Pro" w:cs="Times New Roman"/>
        </w:rPr>
        <w:t xml:space="preserve">unintentional consequences such as </w:t>
      </w:r>
      <w:r w:rsidR="00794DFD">
        <w:rPr>
          <w:rFonts w:ascii="Source Sans Pro" w:eastAsia="Source Sans Pro" w:hAnsi="Source Sans Pro" w:cs="Times New Roman"/>
        </w:rPr>
        <w:t xml:space="preserve">inadvertent non-compliance to the </w:t>
      </w:r>
      <w:r w:rsidR="00EA0D41">
        <w:rPr>
          <w:rFonts w:ascii="Source Sans Pro" w:eastAsia="Source Sans Pro" w:hAnsi="Source Sans Pro" w:cs="Times New Roman"/>
        </w:rPr>
        <w:t>Proposed</w:t>
      </w:r>
      <w:r w:rsidR="00794DFD">
        <w:rPr>
          <w:rFonts w:ascii="Source Sans Pro" w:eastAsia="Source Sans Pro" w:hAnsi="Source Sans Pro" w:cs="Times New Roman"/>
        </w:rPr>
        <w:t xml:space="preserve"> Rule by the sector or </w:t>
      </w:r>
      <w:r w:rsidR="005F2C90">
        <w:rPr>
          <w:rFonts w:ascii="Source Sans Pro" w:eastAsia="Source Sans Pro" w:hAnsi="Source Sans Pro" w:cs="Times New Roman"/>
        </w:rPr>
        <w:t>pl</w:t>
      </w:r>
      <w:r w:rsidR="006F1EE6">
        <w:rPr>
          <w:rFonts w:ascii="Source Sans Pro" w:eastAsia="Source Sans Pro" w:hAnsi="Source Sans Pro" w:cs="Times New Roman"/>
        </w:rPr>
        <w:t xml:space="preserve">acing </w:t>
      </w:r>
      <w:r w:rsidR="00072F87">
        <w:rPr>
          <w:rFonts w:ascii="Source Sans Pro" w:eastAsia="Source Sans Pro" w:hAnsi="Source Sans Pro" w:cs="Times New Roman"/>
        </w:rPr>
        <w:t xml:space="preserve">the </w:t>
      </w:r>
      <w:r w:rsidR="002C1A36">
        <w:rPr>
          <w:rFonts w:ascii="Source Sans Pro" w:eastAsia="Source Sans Pro" w:hAnsi="Source Sans Pro" w:cs="Times New Roman"/>
        </w:rPr>
        <w:t xml:space="preserve">sector at an unfair competitive position </w:t>
      </w:r>
      <w:proofErr w:type="gramStart"/>
      <w:r w:rsidR="005F2C90">
        <w:rPr>
          <w:rFonts w:ascii="Source Sans Pro" w:eastAsia="Source Sans Pro" w:hAnsi="Source Sans Pro" w:cs="Times New Roman"/>
        </w:rPr>
        <w:t xml:space="preserve">vis-à-vis </w:t>
      </w:r>
      <w:r w:rsidR="00775551">
        <w:rPr>
          <w:rFonts w:ascii="Source Sans Pro" w:eastAsia="Source Sans Pro" w:hAnsi="Source Sans Pro" w:cs="Times New Roman"/>
        </w:rPr>
        <w:t>other regulated financial inst</w:t>
      </w:r>
      <w:r w:rsidR="005F2C90">
        <w:rPr>
          <w:rFonts w:ascii="Source Sans Pro" w:eastAsia="Source Sans Pro" w:hAnsi="Source Sans Pro" w:cs="Times New Roman"/>
        </w:rPr>
        <w:t>i</w:t>
      </w:r>
      <w:r w:rsidR="00775551">
        <w:rPr>
          <w:rFonts w:ascii="Source Sans Pro" w:eastAsia="Source Sans Pro" w:hAnsi="Source Sans Pro" w:cs="Times New Roman"/>
        </w:rPr>
        <w:t>t</w:t>
      </w:r>
      <w:r w:rsidR="005F2C90">
        <w:rPr>
          <w:rFonts w:ascii="Source Sans Pro" w:eastAsia="Source Sans Pro" w:hAnsi="Source Sans Pro" w:cs="Times New Roman"/>
        </w:rPr>
        <w:t>u</w:t>
      </w:r>
      <w:r w:rsidR="00775551">
        <w:rPr>
          <w:rFonts w:ascii="Source Sans Pro" w:eastAsia="Source Sans Pro" w:hAnsi="Source Sans Pro" w:cs="Times New Roman"/>
        </w:rPr>
        <w:t>tions</w:t>
      </w:r>
      <w:proofErr w:type="gramEnd"/>
      <w:r w:rsidR="00B70F3B">
        <w:rPr>
          <w:rFonts w:ascii="Source Sans Pro" w:eastAsia="Source Sans Pro" w:hAnsi="Source Sans Pro" w:cs="Times New Roman"/>
        </w:rPr>
        <w:t>.</w:t>
      </w:r>
    </w:p>
    <w:p w14:paraId="6DF96DA1" w14:textId="77777777" w:rsidR="00BA0002" w:rsidRDefault="00BA0002" w:rsidP="008035A0">
      <w:pPr>
        <w:spacing w:after="0" w:line="240" w:lineRule="auto"/>
        <w:rPr>
          <w:rFonts w:ascii="Source Sans Pro" w:eastAsia="Source Sans Pro" w:hAnsi="Source Sans Pro" w:cs="Times New Roman"/>
        </w:rPr>
      </w:pPr>
    </w:p>
    <w:p w14:paraId="14EFA59D" w14:textId="77777777" w:rsidR="00010788" w:rsidRPr="00C35E8A" w:rsidRDefault="00010788" w:rsidP="008035A0">
      <w:pPr>
        <w:spacing w:after="0" w:line="240" w:lineRule="auto"/>
        <w:rPr>
          <w:rFonts w:ascii="Source Sans Pro" w:eastAsia="Source Sans Pro" w:hAnsi="Source Sans Pro" w:cs="Times New Roman"/>
          <w:b/>
          <w:bCs/>
        </w:rPr>
      </w:pPr>
      <w:r w:rsidRPr="00C35E8A">
        <w:rPr>
          <w:rFonts w:ascii="Source Sans Pro" w:eastAsia="Source Sans Pro" w:hAnsi="Source Sans Pro" w:cs="Times New Roman"/>
          <w:b/>
          <w:bCs/>
        </w:rPr>
        <w:t>General Themes</w:t>
      </w:r>
    </w:p>
    <w:p w14:paraId="48B12FB5" w14:textId="77777777" w:rsidR="00010788" w:rsidRDefault="00010788" w:rsidP="008035A0">
      <w:pPr>
        <w:spacing w:after="0" w:line="240" w:lineRule="auto"/>
        <w:rPr>
          <w:rFonts w:ascii="Source Sans Pro" w:eastAsia="Source Sans Pro" w:hAnsi="Source Sans Pro" w:cs="Times New Roman"/>
        </w:rPr>
      </w:pPr>
    </w:p>
    <w:p w14:paraId="50800B05" w14:textId="77777777" w:rsidR="00BA0002" w:rsidRDefault="00BA0002" w:rsidP="008035A0">
      <w:pPr>
        <w:spacing w:after="0" w:line="240" w:lineRule="auto"/>
        <w:rPr>
          <w:rFonts w:ascii="Source Sans Pro" w:eastAsia="Source Sans Pro" w:hAnsi="Source Sans Pro" w:cs="Times New Roman"/>
        </w:rPr>
      </w:pPr>
      <w:r>
        <w:rPr>
          <w:rFonts w:ascii="Source Sans Pro" w:eastAsia="Source Sans Pro" w:hAnsi="Source Sans Pro" w:cs="Times New Roman"/>
        </w:rPr>
        <w:t>Within our review several themes emerged that</w:t>
      </w:r>
      <w:r w:rsidR="006E4658">
        <w:rPr>
          <w:rFonts w:ascii="Source Sans Pro" w:eastAsia="Source Sans Pro" w:hAnsi="Source Sans Pro" w:cs="Times New Roman"/>
        </w:rPr>
        <w:t xml:space="preserve"> we wanted to </w:t>
      </w:r>
      <w:r w:rsidR="00832AFD">
        <w:rPr>
          <w:rFonts w:ascii="Source Sans Pro" w:eastAsia="Source Sans Pro" w:hAnsi="Source Sans Pro" w:cs="Times New Roman"/>
        </w:rPr>
        <w:t>highlight</w:t>
      </w:r>
      <w:r w:rsidR="006E4658">
        <w:rPr>
          <w:rFonts w:ascii="Source Sans Pro" w:eastAsia="Source Sans Pro" w:hAnsi="Source Sans Pro" w:cs="Times New Roman"/>
        </w:rPr>
        <w:t xml:space="preserve"> </w:t>
      </w:r>
      <w:r w:rsidR="00832AFD">
        <w:rPr>
          <w:rFonts w:ascii="Source Sans Pro" w:eastAsia="Source Sans Pro" w:hAnsi="Source Sans Pro" w:cs="Times New Roman"/>
        </w:rPr>
        <w:t>within the response</w:t>
      </w:r>
      <w:r>
        <w:rPr>
          <w:rFonts w:ascii="Source Sans Pro" w:eastAsia="Source Sans Pro" w:hAnsi="Source Sans Pro" w:cs="Times New Roman"/>
        </w:rPr>
        <w:t xml:space="preserve">. </w:t>
      </w:r>
    </w:p>
    <w:p w14:paraId="5B33979B" w14:textId="77777777" w:rsidR="002846DA" w:rsidRDefault="002846DA" w:rsidP="008035A0">
      <w:pPr>
        <w:spacing w:after="0" w:line="240" w:lineRule="auto"/>
        <w:rPr>
          <w:rFonts w:ascii="Source Sans Pro" w:eastAsia="Source Sans Pro" w:hAnsi="Source Sans Pro" w:cs="Times New Roman"/>
        </w:rPr>
      </w:pPr>
    </w:p>
    <w:p w14:paraId="654BF883" w14:textId="77777777" w:rsidR="002846DA" w:rsidRPr="003C42EB" w:rsidRDefault="002846DA" w:rsidP="008035A0">
      <w:pPr>
        <w:spacing w:after="0" w:line="240" w:lineRule="auto"/>
        <w:rPr>
          <w:rFonts w:ascii="Source Sans Pro" w:eastAsia="Source Sans Pro" w:hAnsi="Source Sans Pro" w:cs="Times New Roman"/>
          <w:b/>
          <w:bCs/>
        </w:rPr>
      </w:pPr>
      <w:r w:rsidRPr="003C42EB">
        <w:rPr>
          <w:rFonts w:ascii="Source Sans Pro" w:eastAsia="Source Sans Pro" w:hAnsi="Source Sans Pro" w:cs="Times New Roman"/>
          <w:b/>
          <w:bCs/>
        </w:rPr>
        <w:t>Theme #1</w:t>
      </w:r>
      <w:r w:rsidR="00ED69CA" w:rsidRPr="003C42EB">
        <w:rPr>
          <w:rFonts w:ascii="Source Sans Pro" w:eastAsia="Source Sans Pro" w:hAnsi="Source Sans Pro" w:cs="Times New Roman"/>
          <w:b/>
          <w:bCs/>
        </w:rPr>
        <w:t xml:space="preserve">: </w:t>
      </w:r>
      <w:r w:rsidR="002E50FF" w:rsidRPr="003C42EB">
        <w:rPr>
          <w:rFonts w:ascii="Source Sans Pro" w:eastAsia="Source Sans Pro" w:hAnsi="Source Sans Pro" w:cs="Times New Roman"/>
          <w:b/>
          <w:bCs/>
        </w:rPr>
        <w:t xml:space="preserve">Important distinction between </w:t>
      </w:r>
      <w:r w:rsidRPr="003C42EB">
        <w:rPr>
          <w:rFonts w:ascii="Source Sans Pro" w:eastAsia="Source Sans Pro" w:hAnsi="Source Sans Pro" w:cs="Times New Roman"/>
          <w:b/>
          <w:bCs/>
        </w:rPr>
        <w:t>Rule vs. Guideline</w:t>
      </w:r>
    </w:p>
    <w:p w14:paraId="2E89A650" w14:textId="77777777" w:rsidR="003C42EB" w:rsidRDefault="003C42EB" w:rsidP="003C42EB">
      <w:pPr>
        <w:pStyle w:val="ListParagraph"/>
        <w:spacing w:after="0" w:line="240" w:lineRule="auto"/>
        <w:rPr>
          <w:rFonts w:ascii="Source Sans Pro" w:eastAsia="Source Sans Pro" w:hAnsi="Source Sans Pro" w:cs="Times New Roman"/>
        </w:rPr>
      </w:pPr>
    </w:p>
    <w:p w14:paraId="71BE140A" w14:textId="77777777" w:rsidR="00D02E72" w:rsidRPr="003C42EB" w:rsidRDefault="00E8143C" w:rsidP="003C42EB">
      <w:pPr>
        <w:spacing w:after="0" w:line="240" w:lineRule="auto"/>
        <w:rPr>
          <w:rFonts w:ascii="Source Sans Pro" w:eastAsia="Source Sans Pro" w:hAnsi="Source Sans Pro" w:cs="Times New Roman"/>
        </w:rPr>
      </w:pPr>
      <w:r w:rsidRPr="003C42EB">
        <w:rPr>
          <w:rFonts w:ascii="Source Sans Pro" w:eastAsia="Source Sans Pro" w:hAnsi="Source Sans Pro" w:cs="Times New Roman"/>
        </w:rPr>
        <w:t xml:space="preserve">Draft Rule replaces </w:t>
      </w:r>
      <w:r w:rsidR="00603BB1" w:rsidRPr="003C42EB">
        <w:rPr>
          <w:rFonts w:ascii="Source Sans Pro" w:eastAsia="Source Sans Pro" w:hAnsi="Source Sans Pro" w:cs="Times New Roman"/>
        </w:rPr>
        <w:t xml:space="preserve">Capital Adequacy </w:t>
      </w:r>
      <w:r w:rsidR="00CB3CEC" w:rsidRPr="003C42EB">
        <w:rPr>
          <w:rFonts w:ascii="Source Sans Pro" w:eastAsia="Source Sans Pro" w:hAnsi="Source Sans Pro" w:cs="Times New Roman"/>
        </w:rPr>
        <w:t>Guideline</w:t>
      </w:r>
      <w:r w:rsidR="00B511CB" w:rsidRPr="003C42EB">
        <w:rPr>
          <w:rFonts w:ascii="Source Sans Pro" w:eastAsia="Source Sans Pro" w:hAnsi="Source Sans Pro" w:cs="Times New Roman"/>
        </w:rPr>
        <w:t xml:space="preserve"> for Ontario’s Credit Unions and Caisses Populaires published in Dec. 2013.</w:t>
      </w:r>
      <w:r w:rsidR="003C42EB">
        <w:rPr>
          <w:rFonts w:ascii="Source Sans Pro" w:eastAsia="Source Sans Pro" w:hAnsi="Source Sans Pro" w:cs="Times New Roman"/>
        </w:rPr>
        <w:t xml:space="preserve"> Rules are legally binding</w:t>
      </w:r>
      <w:r w:rsidR="007E3AA3">
        <w:rPr>
          <w:rFonts w:ascii="Source Sans Pro" w:eastAsia="Source Sans Pro" w:hAnsi="Source Sans Pro" w:cs="Times New Roman"/>
        </w:rPr>
        <w:t xml:space="preserve"> and </w:t>
      </w:r>
      <w:r w:rsidR="00F94AF9">
        <w:rPr>
          <w:rFonts w:ascii="Source Sans Pro" w:eastAsia="Source Sans Pro" w:hAnsi="Source Sans Pro" w:cs="Times New Roman"/>
        </w:rPr>
        <w:t xml:space="preserve">carry a higher level of importance as </w:t>
      </w:r>
      <w:r w:rsidR="00BA220E">
        <w:rPr>
          <w:rFonts w:ascii="Source Sans Pro" w:eastAsia="Source Sans Pro" w:hAnsi="Source Sans Pro" w:cs="Times New Roman"/>
        </w:rPr>
        <w:t xml:space="preserve">direct </w:t>
      </w:r>
      <w:r w:rsidR="00F94AF9">
        <w:rPr>
          <w:rFonts w:ascii="Source Sans Pro" w:eastAsia="Source Sans Pro" w:hAnsi="Source Sans Pro" w:cs="Times New Roman"/>
        </w:rPr>
        <w:t xml:space="preserve">non-compliance </w:t>
      </w:r>
      <w:r w:rsidR="00BA220E">
        <w:rPr>
          <w:rFonts w:ascii="Source Sans Pro" w:eastAsia="Source Sans Pro" w:hAnsi="Source Sans Pro" w:cs="Times New Roman"/>
        </w:rPr>
        <w:t>with Rules will have far more negative consequences</w:t>
      </w:r>
      <w:r w:rsidR="00B85CE5">
        <w:rPr>
          <w:rFonts w:ascii="Source Sans Pro" w:eastAsia="Source Sans Pro" w:hAnsi="Source Sans Pro" w:cs="Times New Roman"/>
        </w:rPr>
        <w:t>. It is therefore critical that the Proposed Rule</w:t>
      </w:r>
      <w:r w:rsidR="0033304E">
        <w:rPr>
          <w:rFonts w:ascii="Source Sans Pro" w:eastAsia="Source Sans Pro" w:hAnsi="Source Sans Pro" w:cs="Times New Roman"/>
        </w:rPr>
        <w:t xml:space="preserve"> embod</w:t>
      </w:r>
      <w:r w:rsidR="00576EDD">
        <w:rPr>
          <w:rFonts w:ascii="Source Sans Pro" w:eastAsia="Source Sans Pro" w:hAnsi="Source Sans Pro" w:cs="Times New Roman"/>
        </w:rPr>
        <w:t>ies</w:t>
      </w:r>
      <w:r w:rsidR="0033304E">
        <w:rPr>
          <w:rFonts w:ascii="Source Sans Pro" w:eastAsia="Source Sans Pro" w:hAnsi="Source Sans Pro" w:cs="Times New Roman"/>
        </w:rPr>
        <w:t xml:space="preserve"> clear language</w:t>
      </w:r>
      <w:r w:rsidR="00A2397C">
        <w:rPr>
          <w:rFonts w:ascii="Source Sans Pro" w:eastAsia="Source Sans Pro" w:hAnsi="Source Sans Pro" w:cs="Times New Roman"/>
        </w:rPr>
        <w:t xml:space="preserve"> that </w:t>
      </w:r>
      <w:r w:rsidR="0097205F">
        <w:rPr>
          <w:rFonts w:ascii="Source Sans Pro" w:eastAsia="Source Sans Pro" w:hAnsi="Source Sans Pro" w:cs="Times New Roman"/>
        </w:rPr>
        <w:t xml:space="preserve">reflect accurately the intent of the regulation. </w:t>
      </w:r>
      <w:r w:rsidR="00FE7860">
        <w:rPr>
          <w:rFonts w:ascii="Source Sans Pro" w:eastAsia="Source Sans Pro" w:hAnsi="Source Sans Pro" w:cs="Times New Roman"/>
        </w:rPr>
        <w:t>A</w:t>
      </w:r>
      <w:r w:rsidR="00576EDD">
        <w:rPr>
          <w:rFonts w:ascii="Source Sans Pro" w:eastAsia="Source Sans Pro" w:hAnsi="Source Sans Pro" w:cs="Times New Roman"/>
        </w:rPr>
        <w:t>mbiguity</w:t>
      </w:r>
      <w:r w:rsidR="00FE7860">
        <w:rPr>
          <w:rFonts w:ascii="Source Sans Pro" w:eastAsia="Source Sans Pro" w:hAnsi="Source Sans Pro" w:cs="Times New Roman"/>
        </w:rPr>
        <w:t xml:space="preserve"> that leaves room for interpretation should be avoided at all </w:t>
      </w:r>
      <w:proofErr w:type="gramStart"/>
      <w:r w:rsidR="00FE7860">
        <w:rPr>
          <w:rFonts w:ascii="Source Sans Pro" w:eastAsia="Source Sans Pro" w:hAnsi="Source Sans Pro" w:cs="Times New Roman"/>
        </w:rPr>
        <w:t>cost</w:t>
      </w:r>
      <w:proofErr w:type="gramEnd"/>
      <w:r w:rsidR="00FE7860">
        <w:rPr>
          <w:rFonts w:ascii="Source Sans Pro" w:eastAsia="Source Sans Pro" w:hAnsi="Source Sans Pro" w:cs="Times New Roman"/>
        </w:rPr>
        <w:t>.</w:t>
      </w:r>
    </w:p>
    <w:p w14:paraId="2413C0B1" w14:textId="77777777" w:rsidR="000F6F21" w:rsidRDefault="000F6F21" w:rsidP="009C5534">
      <w:pPr>
        <w:pStyle w:val="ListParagraph"/>
        <w:spacing w:after="0" w:line="240" w:lineRule="auto"/>
        <w:rPr>
          <w:rFonts w:ascii="Source Sans Pro" w:eastAsia="Source Sans Pro" w:hAnsi="Source Sans Pro" w:cs="Times New Roman"/>
        </w:rPr>
      </w:pPr>
    </w:p>
    <w:p w14:paraId="24D3FFEC" w14:textId="77777777" w:rsidR="00AF009B" w:rsidRPr="009C5534" w:rsidRDefault="005008B0" w:rsidP="00D02E72">
      <w:pPr>
        <w:spacing w:after="0" w:line="240" w:lineRule="auto"/>
        <w:rPr>
          <w:rFonts w:ascii="Source Sans Pro" w:eastAsia="Source Sans Pro" w:hAnsi="Source Sans Pro" w:cs="Times New Roman"/>
          <w:b/>
          <w:bCs/>
        </w:rPr>
      </w:pPr>
      <w:r w:rsidRPr="009C5534">
        <w:rPr>
          <w:rFonts w:ascii="Source Sans Pro" w:eastAsia="Source Sans Pro" w:hAnsi="Source Sans Pro" w:cs="Times New Roman"/>
          <w:b/>
          <w:bCs/>
        </w:rPr>
        <w:t>Theme #2</w:t>
      </w:r>
      <w:r w:rsidR="00ED69CA" w:rsidRPr="009C5534">
        <w:rPr>
          <w:rFonts w:ascii="Source Sans Pro" w:eastAsia="Source Sans Pro" w:hAnsi="Source Sans Pro" w:cs="Times New Roman"/>
          <w:b/>
          <w:bCs/>
        </w:rPr>
        <w:t xml:space="preserve">: </w:t>
      </w:r>
      <w:r w:rsidR="00A54B57" w:rsidRPr="009C5534">
        <w:rPr>
          <w:rFonts w:ascii="Source Sans Pro" w:eastAsia="Source Sans Pro" w:hAnsi="Source Sans Pro" w:cs="Times New Roman"/>
          <w:b/>
          <w:bCs/>
        </w:rPr>
        <w:t>Alignment with OSFI</w:t>
      </w:r>
      <w:r w:rsidR="001228A5" w:rsidRPr="009C5534">
        <w:rPr>
          <w:rFonts w:ascii="Source Sans Pro" w:eastAsia="Source Sans Pro" w:hAnsi="Source Sans Pro" w:cs="Times New Roman"/>
          <w:b/>
          <w:bCs/>
        </w:rPr>
        <w:t xml:space="preserve"> whi</w:t>
      </w:r>
      <w:r w:rsidR="00141014" w:rsidRPr="009C5534">
        <w:rPr>
          <w:rFonts w:ascii="Source Sans Pro" w:eastAsia="Source Sans Pro" w:hAnsi="Source Sans Pro" w:cs="Times New Roman"/>
          <w:b/>
          <w:bCs/>
        </w:rPr>
        <w:t>le recognizing</w:t>
      </w:r>
      <w:r w:rsidR="009849D1" w:rsidRPr="009C5534">
        <w:rPr>
          <w:rFonts w:ascii="Source Sans Pro" w:eastAsia="Source Sans Pro" w:hAnsi="Source Sans Pro" w:cs="Times New Roman"/>
          <w:b/>
          <w:bCs/>
        </w:rPr>
        <w:t xml:space="preserve"> factors unique to the </w:t>
      </w:r>
      <w:r w:rsidR="003B35C5">
        <w:rPr>
          <w:rFonts w:ascii="Source Sans Pro" w:eastAsia="Source Sans Pro" w:hAnsi="Source Sans Pro" w:cs="Times New Roman"/>
          <w:b/>
          <w:bCs/>
        </w:rPr>
        <w:t xml:space="preserve">Credit Union </w:t>
      </w:r>
      <w:r w:rsidR="009849D1" w:rsidRPr="009C5534">
        <w:rPr>
          <w:rFonts w:ascii="Source Sans Pro" w:eastAsia="Source Sans Pro" w:hAnsi="Source Sans Pro" w:cs="Times New Roman"/>
          <w:b/>
          <w:bCs/>
        </w:rPr>
        <w:t>sector</w:t>
      </w:r>
    </w:p>
    <w:p w14:paraId="740DCE5B" w14:textId="77777777" w:rsidR="002C2124" w:rsidRDefault="002C2124" w:rsidP="00D02E72">
      <w:pPr>
        <w:spacing w:after="0" w:line="240" w:lineRule="auto"/>
        <w:rPr>
          <w:rFonts w:ascii="Source Sans Pro" w:eastAsia="Source Sans Pro" w:hAnsi="Source Sans Pro" w:cs="Times New Roman"/>
        </w:rPr>
      </w:pPr>
    </w:p>
    <w:p w14:paraId="50B28027" w14:textId="766B2DAD" w:rsidR="009C5534" w:rsidRDefault="00DF2659" w:rsidP="00D02E72">
      <w:pPr>
        <w:spacing w:after="0" w:line="240" w:lineRule="auto"/>
        <w:rPr>
          <w:rFonts w:ascii="Source Sans Pro" w:eastAsia="Source Sans Pro" w:hAnsi="Source Sans Pro" w:cs="Times New Roman"/>
        </w:rPr>
      </w:pPr>
      <w:r>
        <w:rPr>
          <w:rFonts w:ascii="Source Sans Pro" w:eastAsia="Source Sans Pro" w:hAnsi="Source Sans Pro" w:cs="Times New Roman"/>
        </w:rPr>
        <w:t xml:space="preserve">We appreciate efforts made to align </w:t>
      </w:r>
      <w:r w:rsidR="00422EA5">
        <w:rPr>
          <w:rFonts w:ascii="Source Sans Pro" w:eastAsia="Source Sans Pro" w:hAnsi="Source Sans Pro" w:cs="Times New Roman"/>
        </w:rPr>
        <w:t xml:space="preserve">the Proposed Rule </w:t>
      </w:r>
      <w:r w:rsidR="006D07AF">
        <w:rPr>
          <w:rFonts w:ascii="Source Sans Pro" w:eastAsia="Source Sans Pro" w:hAnsi="Source Sans Pro" w:cs="Times New Roman"/>
        </w:rPr>
        <w:t xml:space="preserve">with </w:t>
      </w:r>
      <w:r w:rsidR="00E860C0">
        <w:rPr>
          <w:rFonts w:ascii="Source Sans Pro" w:eastAsia="Source Sans Pro" w:hAnsi="Source Sans Pro" w:cs="Times New Roman"/>
        </w:rPr>
        <w:t xml:space="preserve">guidance issued by </w:t>
      </w:r>
      <w:r w:rsidR="006D07AF">
        <w:rPr>
          <w:rFonts w:ascii="Source Sans Pro" w:eastAsia="Source Sans Pro" w:hAnsi="Source Sans Pro" w:cs="Times New Roman"/>
        </w:rPr>
        <w:t xml:space="preserve">OSFI </w:t>
      </w:r>
      <w:r w:rsidR="007202E5">
        <w:rPr>
          <w:rFonts w:ascii="Source Sans Pro" w:eastAsia="Source Sans Pro" w:hAnsi="Source Sans Pro" w:cs="Times New Roman"/>
        </w:rPr>
        <w:t xml:space="preserve">and believe further alignment </w:t>
      </w:r>
      <w:r w:rsidR="004F1417">
        <w:rPr>
          <w:rFonts w:ascii="Source Sans Pro" w:eastAsia="Source Sans Pro" w:hAnsi="Source Sans Pro" w:cs="Times New Roman"/>
        </w:rPr>
        <w:t xml:space="preserve">is required </w:t>
      </w:r>
      <w:r w:rsidR="005F2FF6">
        <w:rPr>
          <w:rFonts w:ascii="Source Sans Pro" w:eastAsia="Source Sans Pro" w:hAnsi="Source Sans Pro" w:cs="Times New Roman"/>
        </w:rPr>
        <w:t xml:space="preserve">in </w:t>
      </w:r>
      <w:proofErr w:type="gramStart"/>
      <w:r w:rsidR="005F2FF6">
        <w:rPr>
          <w:rFonts w:ascii="Source Sans Pro" w:eastAsia="Source Sans Pro" w:hAnsi="Source Sans Pro" w:cs="Times New Roman"/>
        </w:rPr>
        <w:t>a number of</w:t>
      </w:r>
      <w:proofErr w:type="gramEnd"/>
      <w:r w:rsidR="005F2FF6">
        <w:rPr>
          <w:rFonts w:ascii="Source Sans Pro" w:eastAsia="Source Sans Pro" w:hAnsi="Source Sans Pro" w:cs="Times New Roman"/>
        </w:rPr>
        <w:t xml:space="preserve"> areas </w:t>
      </w:r>
      <w:r w:rsidR="004F1417">
        <w:rPr>
          <w:rFonts w:ascii="Source Sans Pro" w:eastAsia="Source Sans Pro" w:hAnsi="Source Sans Pro" w:cs="Times New Roman"/>
        </w:rPr>
        <w:t>before the Proposed Rule can be finalized</w:t>
      </w:r>
      <w:r w:rsidR="00B275A0">
        <w:rPr>
          <w:rFonts w:ascii="Source Sans Pro" w:eastAsia="Source Sans Pro" w:hAnsi="Source Sans Pro" w:cs="Times New Roman"/>
        </w:rPr>
        <w:t xml:space="preserve"> to ensure a level playing field with OSFI regulated financial institutions including federally regulated </w:t>
      </w:r>
      <w:r w:rsidR="00CA04C5">
        <w:rPr>
          <w:rFonts w:ascii="Source Sans Pro" w:eastAsia="Source Sans Pro" w:hAnsi="Source Sans Pro" w:cs="Times New Roman"/>
        </w:rPr>
        <w:t>C</w:t>
      </w:r>
      <w:r w:rsidR="00B275A0">
        <w:rPr>
          <w:rFonts w:ascii="Source Sans Pro" w:eastAsia="Source Sans Pro" w:hAnsi="Source Sans Pro" w:cs="Times New Roman"/>
        </w:rPr>
        <w:t xml:space="preserve">redit </w:t>
      </w:r>
      <w:r w:rsidR="00CA04C5">
        <w:rPr>
          <w:rFonts w:ascii="Source Sans Pro" w:eastAsia="Source Sans Pro" w:hAnsi="Source Sans Pro" w:cs="Times New Roman"/>
        </w:rPr>
        <w:t>U</w:t>
      </w:r>
      <w:r w:rsidR="00B275A0">
        <w:rPr>
          <w:rFonts w:ascii="Source Sans Pro" w:eastAsia="Source Sans Pro" w:hAnsi="Source Sans Pro" w:cs="Times New Roman"/>
        </w:rPr>
        <w:t>nions</w:t>
      </w:r>
      <w:r w:rsidR="00084A01">
        <w:rPr>
          <w:rFonts w:ascii="Source Sans Pro" w:eastAsia="Source Sans Pro" w:hAnsi="Source Sans Pro" w:cs="Times New Roman"/>
        </w:rPr>
        <w:t xml:space="preserve">.  Key areas of inequitable misalignment with OSFI standards </w:t>
      </w:r>
      <w:proofErr w:type="gramStart"/>
      <w:r w:rsidR="00084A01">
        <w:rPr>
          <w:rFonts w:ascii="Source Sans Pro" w:eastAsia="Source Sans Pro" w:hAnsi="Source Sans Pro" w:cs="Times New Roman"/>
        </w:rPr>
        <w:t>include:</w:t>
      </w:r>
      <w:proofErr w:type="gramEnd"/>
      <w:r w:rsidR="00667897">
        <w:rPr>
          <w:rFonts w:ascii="Source Sans Pro" w:eastAsia="Source Sans Pro" w:hAnsi="Source Sans Pro" w:cs="Times New Roman"/>
        </w:rPr>
        <w:t xml:space="preserve"> risk weight</w:t>
      </w:r>
      <w:r w:rsidR="008E41CF">
        <w:rPr>
          <w:rFonts w:ascii="Source Sans Pro" w:eastAsia="Source Sans Pro" w:hAnsi="Source Sans Pro" w:cs="Times New Roman"/>
        </w:rPr>
        <w:t>ing</w:t>
      </w:r>
      <w:r w:rsidR="00667897">
        <w:rPr>
          <w:rFonts w:ascii="Source Sans Pro" w:eastAsia="Source Sans Pro" w:hAnsi="Source Sans Pro" w:cs="Times New Roman"/>
        </w:rPr>
        <w:t xml:space="preserve"> of </w:t>
      </w:r>
      <w:r w:rsidR="0026728B">
        <w:rPr>
          <w:rFonts w:ascii="Source Sans Pro" w:eastAsia="Source Sans Pro" w:hAnsi="Source Sans Pro" w:cs="Times New Roman"/>
        </w:rPr>
        <w:t>various asset classes</w:t>
      </w:r>
      <w:r w:rsidR="00084A01">
        <w:rPr>
          <w:rFonts w:ascii="Source Sans Pro" w:eastAsia="Source Sans Pro" w:hAnsi="Source Sans Pro" w:cs="Times New Roman"/>
        </w:rPr>
        <w:t xml:space="preserve">, treatment of off-balance sheet insured mortgage securitizations, </w:t>
      </w:r>
      <w:r w:rsidR="009B6972">
        <w:rPr>
          <w:rFonts w:ascii="Source Sans Pro" w:eastAsia="Source Sans Pro" w:hAnsi="Source Sans Pro" w:cs="Times New Roman"/>
        </w:rPr>
        <w:t>and qualifications for deductions in capital</w:t>
      </w:r>
      <w:r w:rsidR="008E41CF">
        <w:rPr>
          <w:rFonts w:ascii="Source Sans Pro" w:eastAsia="Source Sans Pro" w:hAnsi="Source Sans Pro" w:cs="Times New Roman"/>
        </w:rPr>
        <w:t>.</w:t>
      </w:r>
      <w:r w:rsidR="0026728B">
        <w:rPr>
          <w:rFonts w:ascii="Source Sans Pro" w:eastAsia="Source Sans Pro" w:hAnsi="Source Sans Pro" w:cs="Times New Roman"/>
        </w:rPr>
        <w:t xml:space="preserve"> </w:t>
      </w:r>
      <w:r w:rsidR="00B275A0">
        <w:rPr>
          <w:rFonts w:ascii="Source Sans Pro" w:eastAsia="Source Sans Pro" w:hAnsi="Source Sans Pro" w:cs="Times New Roman"/>
        </w:rPr>
        <w:t xml:space="preserve">While </w:t>
      </w:r>
      <w:r w:rsidR="00D57349">
        <w:rPr>
          <w:rFonts w:ascii="Source Sans Pro" w:eastAsia="Source Sans Pro" w:hAnsi="Source Sans Pro" w:cs="Times New Roman"/>
        </w:rPr>
        <w:t>alignment with OSFI is desirable</w:t>
      </w:r>
      <w:r w:rsidR="00266649">
        <w:rPr>
          <w:rFonts w:ascii="Source Sans Pro" w:eastAsia="Source Sans Pro" w:hAnsi="Source Sans Pro" w:cs="Times New Roman"/>
        </w:rPr>
        <w:t xml:space="preserve"> generally, there are</w:t>
      </w:r>
      <w:r w:rsidR="00B275A0">
        <w:rPr>
          <w:rFonts w:ascii="Source Sans Pro" w:eastAsia="Source Sans Pro" w:hAnsi="Source Sans Pro" w:cs="Times New Roman"/>
        </w:rPr>
        <w:t xml:space="preserve"> </w:t>
      </w:r>
      <w:r w:rsidR="00266649">
        <w:rPr>
          <w:rFonts w:ascii="Source Sans Pro" w:eastAsia="Source Sans Pro" w:hAnsi="Source Sans Pro" w:cs="Times New Roman"/>
        </w:rPr>
        <w:t>instances where</w:t>
      </w:r>
      <w:r w:rsidR="00B275A0">
        <w:rPr>
          <w:rFonts w:ascii="Source Sans Pro" w:eastAsia="Source Sans Pro" w:hAnsi="Source Sans Pro" w:cs="Times New Roman"/>
        </w:rPr>
        <w:t xml:space="preserve"> </w:t>
      </w:r>
      <w:r w:rsidR="00FA7092">
        <w:rPr>
          <w:rFonts w:ascii="Source Sans Pro" w:eastAsia="Source Sans Pro" w:hAnsi="Source Sans Pro" w:cs="Times New Roman"/>
        </w:rPr>
        <w:t xml:space="preserve">the size, </w:t>
      </w:r>
      <w:proofErr w:type="gramStart"/>
      <w:r w:rsidR="00075E9D">
        <w:rPr>
          <w:rFonts w:ascii="Source Sans Pro" w:eastAsia="Source Sans Pro" w:hAnsi="Source Sans Pro" w:cs="Times New Roman"/>
        </w:rPr>
        <w:t>complexity</w:t>
      </w:r>
      <w:proofErr w:type="gramEnd"/>
      <w:r w:rsidR="00075E9D">
        <w:rPr>
          <w:rFonts w:ascii="Source Sans Pro" w:eastAsia="Source Sans Pro" w:hAnsi="Source Sans Pro" w:cs="Times New Roman"/>
        </w:rPr>
        <w:t xml:space="preserve"> </w:t>
      </w:r>
      <w:r w:rsidR="00FF485E">
        <w:rPr>
          <w:rFonts w:ascii="Source Sans Pro" w:eastAsia="Source Sans Pro" w:hAnsi="Source Sans Pro" w:cs="Times New Roman"/>
        </w:rPr>
        <w:t xml:space="preserve">and restrictions unique to </w:t>
      </w:r>
      <w:r w:rsidR="00962E0E">
        <w:rPr>
          <w:rFonts w:ascii="Source Sans Pro" w:eastAsia="Source Sans Pro" w:hAnsi="Source Sans Pro" w:cs="Times New Roman"/>
        </w:rPr>
        <w:t>C</w:t>
      </w:r>
      <w:r w:rsidR="00FF485E">
        <w:rPr>
          <w:rFonts w:ascii="Source Sans Pro" w:eastAsia="Source Sans Pro" w:hAnsi="Source Sans Pro" w:cs="Times New Roman"/>
        </w:rPr>
        <w:t xml:space="preserve">redit </w:t>
      </w:r>
      <w:r w:rsidR="00962E0E">
        <w:rPr>
          <w:rFonts w:ascii="Source Sans Pro" w:eastAsia="Source Sans Pro" w:hAnsi="Source Sans Pro" w:cs="Times New Roman"/>
        </w:rPr>
        <w:t>U</w:t>
      </w:r>
      <w:r w:rsidR="00FF485E">
        <w:rPr>
          <w:rFonts w:ascii="Source Sans Pro" w:eastAsia="Source Sans Pro" w:hAnsi="Source Sans Pro" w:cs="Times New Roman"/>
        </w:rPr>
        <w:t>nions</w:t>
      </w:r>
      <w:r w:rsidR="008E41CF">
        <w:rPr>
          <w:rFonts w:ascii="Source Sans Pro" w:eastAsia="Source Sans Pro" w:hAnsi="Source Sans Pro" w:cs="Times New Roman"/>
        </w:rPr>
        <w:t xml:space="preserve"> require considerations to tailor </w:t>
      </w:r>
      <w:r w:rsidR="00276CB3">
        <w:rPr>
          <w:rFonts w:ascii="Source Sans Pro" w:eastAsia="Source Sans Pro" w:hAnsi="Source Sans Pro" w:cs="Times New Roman"/>
        </w:rPr>
        <w:t>the Proposed Rule</w:t>
      </w:r>
      <w:r w:rsidR="00B62B50">
        <w:rPr>
          <w:rFonts w:ascii="Source Sans Pro" w:eastAsia="Source Sans Pro" w:hAnsi="Source Sans Pro" w:cs="Times New Roman"/>
        </w:rPr>
        <w:t>.</w:t>
      </w:r>
      <w:r w:rsidR="001E62B5">
        <w:rPr>
          <w:rFonts w:ascii="Source Sans Pro" w:eastAsia="Source Sans Pro" w:hAnsi="Source Sans Pro" w:cs="Times New Roman"/>
        </w:rPr>
        <w:t xml:space="preserve"> </w:t>
      </w:r>
      <w:r w:rsidR="0013677D">
        <w:rPr>
          <w:rFonts w:ascii="Source Sans Pro" w:eastAsia="Source Sans Pro" w:hAnsi="Source Sans Pro" w:cs="Times New Roman"/>
        </w:rPr>
        <w:t xml:space="preserve">The key differentiation of the provincial Credit Union sector from other </w:t>
      </w:r>
      <w:r w:rsidR="002D21B3">
        <w:rPr>
          <w:rFonts w:ascii="Source Sans Pro" w:eastAsia="Source Sans Pro" w:hAnsi="Source Sans Pro" w:cs="Times New Roman"/>
        </w:rPr>
        <w:t xml:space="preserve">financial institutions </w:t>
      </w:r>
      <w:r w:rsidR="0013677D">
        <w:rPr>
          <w:rFonts w:ascii="Source Sans Pro" w:eastAsia="Source Sans Pro" w:hAnsi="Source Sans Pro" w:cs="Times New Roman"/>
        </w:rPr>
        <w:t xml:space="preserve">is the lack of </w:t>
      </w:r>
      <w:r w:rsidR="000E7064">
        <w:rPr>
          <w:rFonts w:ascii="Source Sans Pro" w:eastAsia="Source Sans Pro" w:hAnsi="Source Sans Pro" w:cs="Times New Roman"/>
        </w:rPr>
        <w:t xml:space="preserve">alternate </w:t>
      </w:r>
      <w:r w:rsidR="00EA65F8">
        <w:rPr>
          <w:rFonts w:ascii="Source Sans Pro" w:eastAsia="Source Sans Pro" w:hAnsi="Source Sans Pro" w:cs="Times New Roman"/>
        </w:rPr>
        <w:t>capital raising cap</w:t>
      </w:r>
      <w:r w:rsidR="000E7064">
        <w:rPr>
          <w:rFonts w:ascii="Source Sans Pro" w:eastAsia="Source Sans Pro" w:hAnsi="Source Sans Pro" w:cs="Times New Roman"/>
        </w:rPr>
        <w:t xml:space="preserve">ability </w:t>
      </w:r>
      <w:r w:rsidR="00F41DEC">
        <w:rPr>
          <w:rFonts w:ascii="Source Sans Pro" w:eastAsia="Source Sans Pro" w:hAnsi="Source Sans Pro" w:cs="Times New Roman"/>
        </w:rPr>
        <w:t xml:space="preserve">and the resulting </w:t>
      </w:r>
      <w:r w:rsidR="001C408C">
        <w:rPr>
          <w:rFonts w:ascii="Source Sans Pro" w:eastAsia="Source Sans Pro" w:hAnsi="Source Sans Pro" w:cs="Times New Roman"/>
        </w:rPr>
        <w:t>heavy reliance on</w:t>
      </w:r>
      <w:r w:rsidR="00EF552E">
        <w:rPr>
          <w:rFonts w:ascii="Source Sans Pro" w:eastAsia="Source Sans Pro" w:hAnsi="Source Sans Pro" w:cs="Times New Roman"/>
        </w:rPr>
        <w:t xml:space="preserve"> </w:t>
      </w:r>
      <w:r w:rsidR="00F41DEC">
        <w:rPr>
          <w:rFonts w:ascii="Source Sans Pro" w:eastAsia="Source Sans Pro" w:hAnsi="Source Sans Pro" w:cs="Times New Roman"/>
        </w:rPr>
        <w:t xml:space="preserve">the issuance of </w:t>
      </w:r>
      <w:r w:rsidR="001C408C">
        <w:rPr>
          <w:rFonts w:ascii="Source Sans Pro" w:eastAsia="Source Sans Pro" w:hAnsi="Source Sans Pro" w:cs="Times New Roman"/>
        </w:rPr>
        <w:lastRenderedPageBreak/>
        <w:t>investment share</w:t>
      </w:r>
      <w:r w:rsidR="00EF552E">
        <w:rPr>
          <w:rFonts w:ascii="Source Sans Pro" w:eastAsia="Source Sans Pro" w:hAnsi="Source Sans Pro" w:cs="Times New Roman"/>
        </w:rPr>
        <w:t>s</w:t>
      </w:r>
      <w:r w:rsidR="00A61101">
        <w:rPr>
          <w:rFonts w:ascii="Source Sans Pro" w:eastAsia="Source Sans Pro" w:hAnsi="Source Sans Pro" w:cs="Times New Roman"/>
        </w:rPr>
        <w:t xml:space="preserve">. </w:t>
      </w:r>
      <w:r w:rsidR="009E7314">
        <w:rPr>
          <w:rFonts w:ascii="Source Sans Pro" w:eastAsia="Source Sans Pro" w:hAnsi="Source Sans Pro" w:cs="Times New Roman"/>
        </w:rPr>
        <w:t xml:space="preserve">Another key differentiation is </w:t>
      </w:r>
      <w:r w:rsidR="00363E4C">
        <w:rPr>
          <w:rFonts w:ascii="Source Sans Pro" w:eastAsia="Source Sans Pro" w:hAnsi="Source Sans Pro" w:cs="Times New Roman"/>
        </w:rPr>
        <w:t xml:space="preserve">Credit Union sector’s dependency on Central 1 and other </w:t>
      </w:r>
      <w:r w:rsidR="00FB08F4">
        <w:rPr>
          <w:rFonts w:ascii="Source Sans Pro" w:eastAsia="Source Sans Pro" w:hAnsi="Source Sans Pro" w:cs="Times New Roman"/>
        </w:rPr>
        <w:t xml:space="preserve">partners including </w:t>
      </w:r>
      <w:r w:rsidR="007A52CF">
        <w:rPr>
          <w:rFonts w:ascii="Source Sans Pro" w:eastAsia="Source Sans Pro" w:hAnsi="Source Sans Pro" w:cs="Times New Roman"/>
        </w:rPr>
        <w:t>FinTech</w:t>
      </w:r>
      <w:r w:rsidR="00FB08F4">
        <w:rPr>
          <w:rFonts w:ascii="Source Sans Pro" w:eastAsia="Source Sans Pro" w:hAnsi="Source Sans Pro" w:cs="Times New Roman"/>
        </w:rPr>
        <w:t xml:space="preserve"> for </w:t>
      </w:r>
      <w:r w:rsidR="00976495">
        <w:rPr>
          <w:rFonts w:ascii="Source Sans Pro" w:eastAsia="Source Sans Pro" w:hAnsi="Source Sans Pro" w:cs="Times New Roman"/>
        </w:rPr>
        <w:t xml:space="preserve">reasonably </w:t>
      </w:r>
      <w:proofErr w:type="gramStart"/>
      <w:r w:rsidR="00976495">
        <w:rPr>
          <w:rFonts w:ascii="Source Sans Pro" w:eastAsia="Source Sans Pro" w:hAnsi="Source Sans Pro" w:cs="Times New Roman"/>
        </w:rPr>
        <w:t>cost effective</w:t>
      </w:r>
      <w:proofErr w:type="gramEnd"/>
      <w:r w:rsidR="00976495">
        <w:rPr>
          <w:rFonts w:ascii="Source Sans Pro" w:eastAsia="Source Sans Pro" w:hAnsi="Source Sans Pro" w:cs="Times New Roman"/>
        </w:rPr>
        <w:t xml:space="preserve"> </w:t>
      </w:r>
      <w:r w:rsidR="00FB08F4">
        <w:rPr>
          <w:rFonts w:ascii="Source Sans Pro" w:eastAsia="Source Sans Pro" w:hAnsi="Source Sans Pro" w:cs="Times New Roman"/>
        </w:rPr>
        <w:t xml:space="preserve">access to essential </w:t>
      </w:r>
      <w:r w:rsidR="00313EBD">
        <w:rPr>
          <w:rFonts w:ascii="Source Sans Pro" w:eastAsia="Source Sans Pro" w:hAnsi="Source Sans Pro" w:cs="Times New Roman"/>
        </w:rPr>
        <w:t xml:space="preserve">treasury and banking </w:t>
      </w:r>
      <w:r w:rsidR="00FB08F4">
        <w:rPr>
          <w:rFonts w:ascii="Source Sans Pro" w:eastAsia="Source Sans Pro" w:hAnsi="Source Sans Pro" w:cs="Times New Roman"/>
        </w:rPr>
        <w:t xml:space="preserve">services and </w:t>
      </w:r>
      <w:r w:rsidR="00313EBD">
        <w:rPr>
          <w:rFonts w:ascii="Source Sans Pro" w:eastAsia="Source Sans Pro" w:hAnsi="Source Sans Pro" w:cs="Times New Roman"/>
        </w:rPr>
        <w:t xml:space="preserve">technological </w:t>
      </w:r>
      <w:r w:rsidR="003B07C3">
        <w:rPr>
          <w:rFonts w:ascii="Source Sans Pro" w:eastAsia="Source Sans Pro" w:hAnsi="Source Sans Pro" w:cs="Times New Roman"/>
        </w:rPr>
        <w:t xml:space="preserve">innovations </w:t>
      </w:r>
      <w:r w:rsidR="006E4F02">
        <w:rPr>
          <w:rFonts w:ascii="Source Sans Pro" w:eastAsia="Source Sans Pro" w:hAnsi="Source Sans Pro" w:cs="Times New Roman"/>
        </w:rPr>
        <w:t xml:space="preserve">where most </w:t>
      </w:r>
      <w:r w:rsidR="00962E0E">
        <w:rPr>
          <w:rFonts w:ascii="Source Sans Pro" w:eastAsia="Source Sans Pro" w:hAnsi="Source Sans Pro" w:cs="Times New Roman"/>
        </w:rPr>
        <w:t>Credit Unions</w:t>
      </w:r>
      <w:r w:rsidR="00C9578F">
        <w:rPr>
          <w:rFonts w:ascii="Source Sans Pro" w:eastAsia="Source Sans Pro" w:hAnsi="Source Sans Pro" w:cs="Times New Roman"/>
        </w:rPr>
        <w:t xml:space="preserve"> </w:t>
      </w:r>
      <w:r w:rsidR="006E4F02">
        <w:rPr>
          <w:rFonts w:ascii="Source Sans Pro" w:eastAsia="Source Sans Pro" w:hAnsi="Source Sans Pro" w:cs="Times New Roman"/>
        </w:rPr>
        <w:t xml:space="preserve">currently lack the economy of scale </w:t>
      </w:r>
      <w:r w:rsidR="00AA4A03">
        <w:rPr>
          <w:rFonts w:ascii="Source Sans Pro" w:eastAsia="Source Sans Pro" w:hAnsi="Source Sans Pro" w:cs="Times New Roman"/>
        </w:rPr>
        <w:t xml:space="preserve">or financial resources to carry out on their own. </w:t>
      </w:r>
      <w:r w:rsidR="00123F31">
        <w:rPr>
          <w:rFonts w:ascii="Source Sans Pro" w:eastAsia="Source Sans Pro" w:hAnsi="Source Sans Pro" w:cs="Times New Roman"/>
        </w:rPr>
        <w:t xml:space="preserve">The capital </w:t>
      </w:r>
      <w:r w:rsidR="00AA0403">
        <w:rPr>
          <w:rFonts w:ascii="Source Sans Pro" w:eastAsia="Source Sans Pro" w:hAnsi="Source Sans Pro" w:cs="Times New Roman"/>
        </w:rPr>
        <w:t xml:space="preserve">treatment of investments </w:t>
      </w:r>
      <w:r w:rsidR="00297013">
        <w:rPr>
          <w:rFonts w:ascii="Source Sans Pro" w:eastAsia="Source Sans Pro" w:hAnsi="Source Sans Pro" w:cs="Times New Roman"/>
        </w:rPr>
        <w:t>in</w:t>
      </w:r>
      <w:r w:rsidR="00AA0403">
        <w:rPr>
          <w:rFonts w:ascii="Source Sans Pro" w:eastAsia="Source Sans Pro" w:hAnsi="Source Sans Pro" w:cs="Times New Roman"/>
        </w:rPr>
        <w:t xml:space="preserve"> these entities need to appropriately reflect </w:t>
      </w:r>
      <w:r w:rsidR="000D40C0">
        <w:rPr>
          <w:rFonts w:ascii="Source Sans Pro" w:eastAsia="Source Sans Pro" w:hAnsi="Source Sans Pro" w:cs="Times New Roman"/>
        </w:rPr>
        <w:t xml:space="preserve">these </w:t>
      </w:r>
      <w:r w:rsidR="00FA2FBD">
        <w:rPr>
          <w:rFonts w:ascii="Source Sans Pro" w:eastAsia="Source Sans Pro" w:hAnsi="Source Sans Pro" w:cs="Times New Roman"/>
        </w:rPr>
        <w:t>differences</w:t>
      </w:r>
      <w:r w:rsidR="000D40C0">
        <w:rPr>
          <w:rFonts w:ascii="Source Sans Pro" w:eastAsia="Source Sans Pro" w:hAnsi="Source Sans Pro" w:cs="Times New Roman"/>
        </w:rPr>
        <w:t xml:space="preserve">. </w:t>
      </w:r>
      <w:r w:rsidR="00C9578F">
        <w:rPr>
          <w:rFonts w:ascii="Source Sans Pro" w:eastAsia="Source Sans Pro" w:hAnsi="Source Sans Pro" w:cs="Times New Roman"/>
        </w:rPr>
        <w:t xml:space="preserve"> </w:t>
      </w:r>
    </w:p>
    <w:p w14:paraId="6AEB4530" w14:textId="77777777" w:rsidR="009C5534" w:rsidRDefault="009C5534" w:rsidP="00D02E72">
      <w:pPr>
        <w:spacing w:after="0" w:line="240" w:lineRule="auto"/>
        <w:rPr>
          <w:rFonts w:ascii="Source Sans Pro" w:eastAsia="Source Sans Pro" w:hAnsi="Source Sans Pro" w:cs="Times New Roman"/>
        </w:rPr>
      </w:pPr>
    </w:p>
    <w:p w14:paraId="5ECA274A" w14:textId="77777777" w:rsidR="00944B44" w:rsidRPr="00944B44" w:rsidRDefault="008D2BF3" w:rsidP="00D02E72">
      <w:pPr>
        <w:spacing w:after="0" w:line="240" w:lineRule="auto"/>
        <w:rPr>
          <w:rFonts w:ascii="Source Sans Pro" w:eastAsia="Source Sans Pro" w:hAnsi="Source Sans Pro" w:cs="Times New Roman"/>
          <w:b/>
          <w:bCs/>
        </w:rPr>
      </w:pPr>
      <w:r w:rsidRPr="00944B44">
        <w:rPr>
          <w:rFonts w:ascii="Source Sans Pro" w:eastAsia="Source Sans Pro" w:hAnsi="Source Sans Pro" w:cs="Times New Roman"/>
          <w:b/>
          <w:bCs/>
        </w:rPr>
        <w:t>Theme #</w:t>
      </w:r>
      <w:r w:rsidR="00F45758" w:rsidRPr="00944B44">
        <w:rPr>
          <w:rFonts w:ascii="Source Sans Pro" w:eastAsia="Source Sans Pro" w:hAnsi="Source Sans Pro" w:cs="Times New Roman"/>
          <w:b/>
          <w:bCs/>
        </w:rPr>
        <w:t>3</w:t>
      </w:r>
      <w:r w:rsidRPr="00944B44">
        <w:rPr>
          <w:rFonts w:ascii="Source Sans Pro" w:eastAsia="Source Sans Pro" w:hAnsi="Source Sans Pro" w:cs="Times New Roman"/>
          <w:b/>
          <w:bCs/>
        </w:rPr>
        <w:t xml:space="preserve">: </w:t>
      </w:r>
      <w:r w:rsidR="00DB5F18" w:rsidRPr="00944B44">
        <w:rPr>
          <w:rFonts w:ascii="Source Sans Pro" w:eastAsia="Source Sans Pro" w:hAnsi="Source Sans Pro" w:cs="Times New Roman"/>
          <w:b/>
          <w:bCs/>
        </w:rPr>
        <w:t xml:space="preserve">Assumption </w:t>
      </w:r>
      <w:r w:rsidR="00944B44" w:rsidRPr="00944B44">
        <w:rPr>
          <w:rFonts w:ascii="Source Sans Pro" w:eastAsia="Source Sans Pro" w:hAnsi="Source Sans Pro" w:cs="Times New Roman"/>
          <w:b/>
          <w:bCs/>
        </w:rPr>
        <w:t xml:space="preserve">that Proposed Rule will not result in additional material costs </w:t>
      </w:r>
      <w:r w:rsidR="009942CE">
        <w:rPr>
          <w:rFonts w:ascii="Source Sans Pro" w:eastAsia="Source Sans Pro" w:hAnsi="Source Sans Pro" w:cs="Times New Roman"/>
          <w:b/>
          <w:bCs/>
        </w:rPr>
        <w:t xml:space="preserve">for </w:t>
      </w:r>
      <w:r w:rsidR="00EA1F8E">
        <w:rPr>
          <w:rFonts w:ascii="Source Sans Pro" w:eastAsia="Source Sans Pro" w:hAnsi="Source Sans Pro" w:cs="Times New Roman"/>
          <w:b/>
          <w:bCs/>
        </w:rPr>
        <w:t>C</w:t>
      </w:r>
      <w:r w:rsidR="009942CE">
        <w:rPr>
          <w:rFonts w:ascii="Source Sans Pro" w:eastAsia="Source Sans Pro" w:hAnsi="Source Sans Pro" w:cs="Times New Roman"/>
          <w:b/>
          <w:bCs/>
        </w:rPr>
        <w:t xml:space="preserve">redit </w:t>
      </w:r>
      <w:r w:rsidR="00EA1F8E">
        <w:rPr>
          <w:rFonts w:ascii="Source Sans Pro" w:eastAsia="Source Sans Pro" w:hAnsi="Source Sans Pro" w:cs="Times New Roman"/>
          <w:b/>
          <w:bCs/>
        </w:rPr>
        <w:t>U</w:t>
      </w:r>
      <w:r w:rsidR="009942CE">
        <w:rPr>
          <w:rFonts w:ascii="Source Sans Pro" w:eastAsia="Source Sans Pro" w:hAnsi="Source Sans Pro" w:cs="Times New Roman"/>
          <w:b/>
          <w:bCs/>
        </w:rPr>
        <w:t xml:space="preserve">nions </w:t>
      </w:r>
      <w:r w:rsidR="00944B44" w:rsidRPr="00944B44">
        <w:rPr>
          <w:rFonts w:ascii="Source Sans Pro" w:eastAsia="Source Sans Pro" w:hAnsi="Source Sans Pro" w:cs="Times New Roman"/>
          <w:b/>
          <w:bCs/>
        </w:rPr>
        <w:t>is premature</w:t>
      </w:r>
    </w:p>
    <w:p w14:paraId="0C522E9B" w14:textId="77777777" w:rsidR="00944B44" w:rsidRDefault="00944B44" w:rsidP="00D02E72">
      <w:pPr>
        <w:spacing w:after="0" w:line="240" w:lineRule="auto"/>
        <w:rPr>
          <w:rFonts w:ascii="Source Sans Pro" w:eastAsia="Source Sans Pro" w:hAnsi="Source Sans Pro" w:cs="Times New Roman"/>
        </w:rPr>
      </w:pPr>
    </w:p>
    <w:p w14:paraId="47D2B94A" w14:textId="01C5FE10" w:rsidR="00B62B50" w:rsidRDefault="00B968B7" w:rsidP="00D02E72">
      <w:pPr>
        <w:spacing w:after="0" w:line="240" w:lineRule="auto"/>
        <w:rPr>
          <w:rFonts w:ascii="Source Sans Pro" w:eastAsia="Source Sans Pro" w:hAnsi="Source Sans Pro" w:cs="Times New Roman"/>
        </w:rPr>
      </w:pPr>
      <w:r>
        <w:rPr>
          <w:rFonts w:ascii="Source Sans Pro" w:eastAsia="Source Sans Pro" w:hAnsi="Source Sans Pro" w:cs="Times New Roman"/>
        </w:rPr>
        <w:t>The Proposed Rule raises m</w:t>
      </w:r>
      <w:r w:rsidR="00465E57">
        <w:rPr>
          <w:rFonts w:ascii="Source Sans Pro" w:eastAsia="Source Sans Pro" w:hAnsi="Source Sans Pro" w:cs="Times New Roman"/>
        </w:rPr>
        <w:t xml:space="preserve">inimum </w:t>
      </w:r>
      <w:r>
        <w:rPr>
          <w:rFonts w:ascii="Source Sans Pro" w:eastAsia="Source Sans Pro" w:hAnsi="Source Sans Pro" w:cs="Times New Roman"/>
        </w:rPr>
        <w:t>total supervisory capital ratio from 8% to 10.5%</w:t>
      </w:r>
      <w:r w:rsidR="00EE6D9B">
        <w:rPr>
          <w:rFonts w:ascii="Source Sans Pro" w:eastAsia="Source Sans Pro" w:hAnsi="Source Sans Pro" w:cs="Times New Roman"/>
        </w:rPr>
        <w:t xml:space="preserve"> with no transition period </w:t>
      </w:r>
      <w:r w:rsidR="000B252B">
        <w:rPr>
          <w:rFonts w:ascii="Source Sans Pro" w:eastAsia="Source Sans Pro" w:hAnsi="Source Sans Pro" w:cs="Times New Roman"/>
        </w:rPr>
        <w:t xml:space="preserve">based on the assumption that </w:t>
      </w:r>
      <w:r w:rsidR="007874CE">
        <w:rPr>
          <w:rFonts w:ascii="Source Sans Pro" w:eastAsia="Source Sans Pro" w:hAnsi="Source Sans Pro" w:cs="Times New Roman"/>
        </w:rPr>
        <w:t xml:space="preserve">“almost all of Ontario’s </w:t>
      </w:r>
      <w:r w:rsidR="00CA04C5">
        <w:rPr>
          <w:rFonts w:ascii="Source Sans Pro" w:eastAsia="Source Sans Pro" w:hAnsi="Source Sans Pro" w:cs="Times New Roman"/>
        </w:rPr>
        <w:t>C</w:t>
      </w:r>
      <w:r w:rsidR="007874CE">
        <w:rPr>
          <w:rFonts w:ascii="Source Sans Pro" w:eastAsia="Source Sans Pro" w:hAnsi="Source Sans Pro" w:cs="Times New Roman"/>
        </w:rPr>
        <w:t xml:space="preserve">redit </w:t>
      </w:r>
      <w:r w:rsidR="00CA04C5">
        <w:rPr>
          <w:rFonts w:ascii="Source Sans Pro" w:eastAsia="Source Sans Pro" w:hAnsi="Source Sans Pro" w:cs="Times New Roman"/>
        </w:rPr>
        <w:t>U</w:t>
      </w:r>
      <w:r w:rsidR="007874CE">
        <w:rPr>
          <w:rFonts w:ascii="Source Sans Pro" w:eastAsia="Source Sans Pro" w:hAnsi="Source Sans Pro" w:cs="Times New Roman"/>
        </w:rPr>
        <w:t>nions currently either meet or exceed the requirements specified in the Proposed Rule”</w:t>
      </w:r>
      <w:r w:rsidR="00DD7815">
        <w:rPr>
          <w:rFonts w:ascii="Source Sans Pro" w:eastAsia="Source Sans Pro" w:hAnsi="Source Sans Pro" w:cs="Times New Roman"/>
        </w:rPr>
        <w:t xml:space="preserve">. This </w:t>
      </w:r>
      <w:r w:rsidR="00562834">
        <w:rPr>
          <w:rFonts w:ascii="Source Sans Pro" w:eastAsia="Source Sans Pro" w:hAnsi="Source Sans Pro" w:cs="Times New Roman"/>
        </w:rPr>
        <w:t>presumption</w:t>
      </w:r>
      <w:r w:rsidR="00DD7815">
        <w:rPr>
          <w:rFonts w:ascii="Source Sans Pro" w:eastAsia="Source Sans Pro" w:hAnsi="Source Sans Pro" w:cs="Times New Roman"/>
        </w:rPr>
        <w:t xml:space="preserve"> </w:t>
      </w:r>
      <w:r w:rsidR="00071418">
        <w:rPr>
          <w:rFonts w:ascii="Source Sans Pro" w:eastAsia="Source Sans Pro" w:hAnsi="Source Sans Pro" w:cs="Times New Roman"/>
        </w:rPr>
        <w:t xml:space="preserve">may be </w:t>
      </w:r>
      <w:r w:rsidR="00562834">
        <w:rPr>
          <w:rFonts w:ascii="Source Sans Pro" w:eastAsia="Source Sans Pro" w:hAnsi="Source Sans Pro" w:cs="Times New Roman"/>
        </w:rPr>
        <w:t xml:space="preserve">inaccurate </w:t>
      </w:r>
      <w:r w:rsidR="00DD7815">
        <w:rPr>
          <w:rFonts w:ascii="Source Sans Pro" w:eastAsia="Source Sans Pro" w:hAnsi="Source Sans Pro" w:cs="Times New Roman"/>
        </w:rPr>
        <w:t>as</w:t>
      </w:r>
      <w:r w:rsidR="002C7698">
        <w:rPr>
          <w:rFonts w:ascii="Source Sans Pro" w:eastAsia="Source Sans Pro" w:hAnsi="Source Sans Pro" w:cs="Times New Roman"/>
        </w:rPr>
        <w:t xml:space="preserve"> </w:t>
      </w:r>
      <w:r w:rsidR="00DD7815">
        <w:rPr>
          <w:rFonts w:ascii="Source Sans Pro" w:eastAsia="Source Sans Pro" w:hAnsi="Source Sans Pro" w:cs="Times New Roman"/>
        </w:rPr>
        <w:t>i</w:t>
      </w:r>
      <w:r w:rsidR="002C7698">
        <w:rPr>
          <w:rFonts w:ascii="Source Sans Pro" w:eastAsia="Source Sans Pro" w:hAnsi="Source Sans Pro" w:cs="Times New Roman"/>
        </w:rPr>
        <w:t xml:space="preserve">t </w:t>
      </w:r>
      <w:r w:rsidR="00AE44D7">
        <w:rPr>
          <w:rFonts w:ascii="Source Sans Pro" w:eastAsia="Source Sans Pro" w:hAnsi="Source Sans Pro" w:cs="Times New Roman"/>
        </w:rPr>
        <w:t xml:space="preserve">has not considered </w:t>
      </w:r>
      <w:r w:rsidR="000C43C7">
        <w:rPr>
          <w:rFonts w:ascii="Source Sans Pro" w:eastAsia="Source Sans Pro" w:hAnsi="Source Sans Pro" w:cs="Times New Roman"/>
        </w:rPr>
        <w:t xml:space="preserve">the </w:t>
      </w:r>
      <w:r w:rsidR="00C4731E">
        <w:rPr>
          <w:rFonts w:ascii="Source Sans Pro" w:eastAsia="Source Sans Pro" w:hAnsi="Source Sans Pro" w:cs="Times New Roman"/>
        </w:rPr>
        <w:t xml:space="preserve">full </w:t>
      </w:r>
      <w:r w:rsidR="000C43C7">
        <w:rPr>
          <w:rFonts w:ascii="Source Sans Pro" w:eastAsia="Source Sans Pro" w:hAnsi="Source Sans Pro" w:cs="Times New Roman"/>
        </w:rPr>
        <w:t xml:space="preserve">impact of </w:t>
      </w:r>
      <w:r w:rsidR="002C7698">
        <w:rPr>
          <w:rFonts w:ascii="Source Sans Pro" w:eastAsia="Source Sans Pro" w:hAnsi="Source Sans Pro" w:cs="Times New Roman"/>
        </w:rPr>
        <w:t xml:space="preserve">several material </w:t>
      </w:r>
      <w:r w:rsidR="0012451C">
        <w:rPr>
          <w:rFonts w:ascii="Source Sans Pro" w:eastAsia="Source Sans Pro" w:hAnsi="Source Sans Pro" w:cs="Times New Roman"/>
        </w:rPr>
        <w:t>changes to capital adequacy</w:t>
      </w:r>
      <w:r w:rsidR="00562834">
        <w:rPr>
          <w:rFonts w:ascii="Source Sans Pro" w:eastAsia="Source Sans Pro" w:hAnsi="Source Sans Pro" w:cs="Times New Roman"/>
        </w:rPr>
        <w:t>.  Examples of areas of significant reduction in capital</w:t>
      </w:r>
      <w:r w:rsidR="0012451C">
        <w:rPr>
          <w:rFonts w:ascii="Source Sans Pro" w:eastAsia="Source Sans Pro" w:hAnsi="Source Sans Pro" w:cs="Times New Roman"/>
        </w:rPr>
        <w:t xml:space="preserve"> </w:t>
      </w:r>
      <w:r w:rsidR="00562834">
        <w:rPr>
          <w:rFonts w:ascii="Source Sans Pro" w:eastAsia="Source Sans Pro" w:hAnsi="Source Sans Pro" w:cs="Times New Roman"/>
        </w:rPr>
        <w:t xml:space="preserve">include a new requirement to deduct increases in equity derived from </w:t>
      </w:r>
      <w:r w:rsidR="00FD19A7">
        <w:rPr>
          <w:rFonts w:ascii="Source Sans Pro" w:eastAsia="Source Sans Pro" w:hAnsi="Source Sans Pro" w:cs="Times New Roman"/>
        </w:rPr>
        <w:t xml:space="preserve">securitization transactions, </w:t>
      </w:r>
      <w:r w:rsidR="00562834">
        <w:rPr>
          <w:rFonts w:ascii="Source Sans Pro" w:eastAsia="Source Sans Pro" w:hAnsi="Source Sans Pro" w:cs="Times New Roman"/>
        </w:rPr>
        <w:t xml:space="preserve">consolidation of subsidiaries, </w:t>
      </w:r>
      <w:r w:rsidR="00995A5F">
        <w:rPr>
          <w:rFonts w:ascii="Source Sans Pro" w:eastAsia="Source Sans Pro" w:hAnsi="Source Sans Pro" w:cs="Times New Roman"/>
        </w:rPr>
        <w:t xml:space="preserve">and </w:t>
      </w:r>
      <w:proofErr w:type="gramStart"/>
      <w:r w:rsidR="00562834">
        <w:rPr>
          <w:rFonts w:ascii="Source Sans Pro" w:eastAsia="Source Sans Pro" w:hAnsi="Source Sans Pro" w:cs="Times New Roman"/>
        </w:rPr>
        <w:t xml:space="preserve">a </w:t>
      </w:r>
      <w:r w:rsidR="00FB2488">
        <w:rPr>
          <w:rFonts w:ascii="Source Sans Pro" w:eastAsia="Source Sans Pro" w:hAnsi="Source Sans Pro" w:cs="Times New Roman"/>
        </w:rPr>
        <w:t>large number of</w:t>
      </w:r>
      <w:proofErr w:type="gramEnd"/>
      <w:r w:rsidR="00FB2488">
        <w:rPr>
          <w:rFonts w:ascii="Source Sans Pro" w:eastAsia="Source Sans Pro" w:hAnsi="Source Sans Pro" w:cs="Times New Roman"/>
        </w:rPr>
        <w:t xml:space="preserve"> asset classes falling into the punitive 1250% risk weighting,</w:t>
      </w:r>
      <w:r w:rsidR="00A05919">
        <w:rPr>
          <w:rFonts w:ascii="Source Sans Pro" w:eastAsia="Source Sans Pro" w:hAnsi="Source Sans Pro" w:cs="Times New Roman"/>
        </w:rPr>
        <w:t xml:space="preserve"> to name a few. </w:t>
      </w:r>
      <w:r w:rsidR="00471744">
        <w:rPr>
          <w:rFonts w:ascii="Source Sans Pro" w:eastAsia="Source Sans Pro" w:hAnsi="Source Sans Pro" w:cs="Times New Roman"/>
        </w:rPr>
        <w:t xml:space="preserve">In addition, internal management </w:t>
      </w:r>
      <w:r w:rsidR="006B7566">
        <w:rPr>
          <w:rFonts w:ascii="Source Sans Pro" w:eastAsia="Source Sans Pro" w:hAnsi="Source Sans Pro" w:cs="Times New Roman"/>
        </w:rPr>
        <w:t xml:space="preserve">minimum capital ratios will require review and </w:t>
      </w:r>
      <w:r w:rsidR="00DF72B2">
        <w:rPr>
          <w:rFonts w:ascii="Source Sans Pro" w:eastAsia="Source Sans Pro" w:hAnsi="Source Sans Pro" w:cs="Times New Roman"/>
        </w:rPr>
        <w:t xml:space="preserve">may lead to </w:t>
      </w:r>
      <w:r w:rsidR="003D3751">
        <w:rPr>
          <w:rFonts w:ascii="Source Sans Pro" w:eastAsia="Source Sans Pro" w:hAnsi="Source Sans Pro" w:cs="Times New Roman"/>
        </w:rPr>
        <w:t>upward revision due to higher regulatory minimum requirements.</w:t>
      </w:r>
      <w:r w:rsidR="006B7566">
        <w:rPr>
          <w:rFonts w:ascii="Source Sans Pro" w:eastAsia="Source Sans Pro" w:hAnsi="Source Sans Pro" w:cs="Times New Roman"/>
        </w:rPr>
        <w:t xml:space="preserve"> </w:t>
      </w:r>
      <w:r w:rsidR="00341502">
        <w:rPr>
          <w:rFonts w:ascii="Source Sans Pro" w:eastAsia="Source Sans Pro" w:hAnsi="Source Sans Pro" w:cs="Times New Roman"/>
        </w:rPr>
        <w:t xml:space="preserve">There needs to be consideration given </w:t>
      </w:r>
      <w:r w:rsidR="002F5E7D">
        <w:rPr>
          <w:rFonts w:ascii="Source Sans Pro" w:eastAsia="Source Sans Pro" w:hAnsi="Source Sans Pro" w:cs="Times New Roman"/>
        </w:rPr>
        <w:t xml:space="preserve">to </w:t>
      </w:r>
      <w:r w:rsidR="003D3751">
        <w:rPr>
          <w:rFonts w:ascii="Source Sans Pro" w:eastAsia="Source Sans Pro" w:hAnsi="Source Sans Pro" w:cs="Times New Roman"/>
        </w:rPr>
        <w:t xml:space="preserve">business plans and growth strategies </w:t>
      </w:r>
      <w:r w:rsidR="00EA1F8E">
        <w:rPr>
          <w:rFonts w:ascii="Source Sans Pro" w:eastAsia="Source Sans Pro" w:hAnsi="Source Sans Pro" w:cs="Times New Roman"/>
        </w:rPr>
        <w:t xml:space="preserve">in progress </w:t>
      </w:r>
      <w:r w:rsidR="00E733C2">
        <w:rPr>
          <w:rFonts w:ascii="Source Sans Pro" w:eastAsia="Source Sans Pro" w:hAnsi="Source Sans Pro" w:cs="Times New Roman"/>
        </w:rPr>
        <w:t xml:space="preserve">within individual Credit Unions </w:t>
      </w:r>
      <w:r w:rsidR="002015DA">
        <w:rPr>
          <w:rFonts w:ascii="Source Sans Pro" w:eastAsia="Source Sans Pro" w:hAnsi="Source Sans Pro" w:cs="Times New Roman"/>
        </w:rPr>
        <w:t xml:space="preserve">that require </w:t>
      </w:r>
      <w:r w:rsidR="00402C19">
        <w:rPr>
          <w:rFonts w:ascii="Source Sans Pro" w:eastAsia="Source Sans Pro" w:hAnsi="Source Sans Pro" w:cs="Times New Roman"/>
        </w:rPr>
        <w:t xml:space="preserve">significant </w:t>
      </w:r>
      <w:r w:rsidR="002015DA">
        <w:rPr>
          <w:rFonts w:ascii="Source Sans Pro" w:eastAsia="Source Sans Pro" w:hAnsi="Source Sans Pro" w:cs="Times New Roman"/>
        </w:rPr>
        <w:t>l</w:t>
      </w:r>
      <w:r w:rsidR="001E62B5">
        <w:rPr>
          <w:rFonts w:ascii="Source Sans Pro" w:eastAsia="Source Sans Pro" w:hAnsi="Source Sans Pro" w:cs="Times New Roman"/>
        </w:rPr>
        <w:t xml:space="preserve">ead time </w:t>
      </w:r>
      <w:r w:rsidR="00402C19">
        <w:rPr>
          <w:rFonts w:ascii="Source Sans Pro" w:eastAsia="Source Sans Pro" w:hAnsi="Source Sans Pro" w:cs="Times New Roman"/>
        </w:rPr>
        <w:t xml:space="preserve">to plan and </w:t>
      </w:r>
      <w:r w:rsidR="00003A1A">
        <w:rPr>
          <w:rFonts w:ascii="Source Sans Pro" w:eastAsia="Source Sans Pro" w:hAnsi="Source Sans Pro" w:cs="Times New Roman"/>
        </w:rPr>
        <w:t>execute</w:t>
      </w:r>
      <w:r w:rsidR="00636DD6">
        <w:rPr>
          <w:rFonts w:ascii="Source Sans Pro" w:eastAsia="Source Sans Pro" w:hAnsi="Source Sans Pro" w:cs="Times New Roman"/>
        </w:rPr>
        <w:t xml:space="preserve">, necessitating a much longer transition period. </w:t>
      </w:r>
    </w:p>
    <w:p w14:paraId="7A1B2292" w14:textId="77777777" w:rsidR="00B62B50" w:rsidRDefault="00B62B50" w:rsidP="00D02E72">
      <w:pPr>
        <w:spacing w:after="0" w:line="240" w:lineRule="auto"/>
        <w:rPr>
          <w:rFonts w:ascii="Source Sans Pro" w:eastAsia="Source Sans Pro" w:hAnsi="Source Sans Pro" w:cs="Times New Roman"/>
        </w:rPr>
      </w:pPr>
    </w:p>
    <w:p w14:paraId="7E0A414F" w14:textId="77777777" w:rsidR="00AF009B" w:rsidRPr="00C35E8A" w:rsidRDefault="00AF009B" w:rsidP="00AF009B">
      <w:pPr>
        <w:spacing w:after="0" w:line="240" w:lineRule="auto"/>
        <w:rPr>
          <w:rFonts w:ascii="Source Sans Pro" w:eastAsia="Source Sans Pro" w:hAnsi="Source Sans Pro" w:cs="Times New Roman"/>
          <w:b/>
          <w:bCs/>
        </w:rPr>
      </w:pPr>
      <w:r w:rsidRPr="00C35E8A">
        <w:rPr>
          <w:rFonts w:ascii="Source Sans Pro" w:eastAsia="Source Sans Pro" w:hAnsi="Source Sans Pro" w:cs="Times New Roman"/>
          <w:b/>
          <w:bCs/>
        </w:rPr>
        <w:t xml:space="preserve">Key </w:t>
      </w:r>
      <w:r>
        <w:rPr>
          <w:rFonts w:ascii="Source Sans Pro" w:eastAsia="Source Sans Pro" w:hAnsi="Source Sans Pro" w:cs="Times New Roman"/>
          <w:b/>
          <w:bCs/>
        </w:rPr>
        <w:t>Issues</w:t>
      </w:r>
    </w:p>
    <w:p w14:paraId="6A7860B8" w14:textId="77777777" w:rsidR="00AF009B" w:rsidRDefault="00AF009B" w:rsidP="00D02E72">
      <w:pPr>
        <w:spacing w:after="0" w:line="240" w:lineRule="auto"/>
        <w:rPr>
          <w:rFonts w:ascii="Source Sans Pro" w:eastAsia="Source Sans Pro" w:hAnsi="Source Sans Pro" w:cs="Times New Roman"/>
        </w:rPr>
      </w:pPr>
    </w:p>
    <w:p w14:paraId="272357C6" w14:textId="77777777" w:rsidR="00755273" w:rsidRDefault="00932704" w:rsidP="00D02E72">
      <w:pPr>
        <w:spacing w:after="0" w:line="240" w:lineRule="auto"/>
        <w:rPr>
          <w:rFonts w:ascii="Source Sans Pro" w:eastAsia="Source Sans Pro" w:hAnsi="Source Sans Pro" w:cs="Times New Roman"/>
        </w:rPr>
      </w:pPr>
      <w:r>
        <w:rPr>
          <w:rFonts w:ascii="Source Sans Pro" w:eastAsia="Source Sans Pro" w:hAnsi="Source Sans Pro" w:cs="Times New Roman"/>
        </w:rPr>
        <w:t>In keeping w</w:t>
      </w:r>
      <w:r w:rsidR="009F3173">
        <w:rPr>
          <w:rFonts w:ascii="Source Sans Pro" w:eastAsia="Source Sans Pro" w:hAnsi="Source Sans Pro" w:cs="Times New Roman"/>
        </w:rPr>
        <w:t>ith the key themes</w:t>
      </w:r>
      <w:r>
        <w:rPr>
          <w:rFonts w:ascii="Source Sans Pro" w:eastAsia="Source Sans Pro" w:hAnsi="Source Sans Pro" w:cs="Times New Roman"/>
        </w:rPr>
        <w:t xml:space="preserve">, </w:t>
      </w:r>
      <w:r w:rsidR="00755273">
        <w:rPr>
          <w:rFonts w:ascii="Source Sans Pro" w:eastAsia="Source Sans Pro" w:hAnsi="Source Sans Pro" w:cs="Times New Roman"/>
        </w:rPr>
        <w:t xml:space="preserve">Appendix A </w:t>
      </w:r>
      <w:r>
        <w:rPr>
          <w:rFonts w:ascii="Source Sans Pro" w:eastAsia="Source Sans Pro" w:hAnsi="Source Sans Pro" w:cs="Times New Roman"/>
        </w:rPr>
        <w:t xml:space="preserve">lists </w:t>
      </w:r>
      <w:r w:rsidR="00443701">
        <w:rPr>
          <w:rFonts w:ascii="Source Sans Pro" w:eastAsia="Source Sans Pro" w:hAnsi="Source Sans Pro" w:cs="Times New Roman"/>
        </w:rPr>
        <w:t xml:space="preserve">details of </w:t>
      </w:r>
      <w:r w:rsidR="00755273">
        <w:rPr>
          <w:rFonts w:ascii="Source Sans Pro" w:eastAsia="Source Sans Pro" w:hAnsi="Source Sans Pro" w:cs="Times New Roman"/>
        </w:rPr>
        <w:t xml:space="preserve">key issues </w:t>
      </w:r>
      <w:r w:rsidR="00443701">
        <w:rPr>
          <w:rFonts w:ascii="Source Sans Pro" w:eastAsia="Source Sans Pro" w:hAnsi="Source Sans Pro" w:cs="Times New Roman"/>
        </w:rPr>
        <w:t>arising from our collective review with proposed recommendations where applicable</w:t>
      </w:r>
      <w:r w:rsidR="00E566A8">
        <w:rPr>
          <w:rFonts w:ascii="Source Sans Pro" w:eastAsia="Source Sans Pro" w:hAnsi="Source Sans Pro" w:cs="Times New Roman"/>
        </w:rPr>
        <w:t xml:space="preserve">. </w:t>
      </w:r>
    </w:p>
    <w:p w14:paraId="11EB141C" w14:textId="77777777" w:rsidR="00755273" w:rsidRDefault="00755273" w:rsidP="00D02E72">
      <w:pPr>
        <w:spacing w:after="0" w:line="240" w:lineRule="auto"/>
        <w:rPr>
          <w:rFonts w:ascii="Source Sans Pro" w:eastAsia="Source Sans Pro" w:hAnsi="Source Sans Pro" w:cs="Times New Roman"/>
        </w:rPr>
      </w:pPr>
    </w:p>
    <w:p w14:paraId="026F2D19" w14:textId="77777777" w:rsidR="0002142E" w:rsidRPr="00D02E72" w:rsidRDefault="0002142E" w:rsidP="00D02E72">
      <w:pPr>
        <w:spacing w:after="0" w:line="240" w:lineRule="auto"/>
        <w:rPr>
          <w:rFonts w:ascii="Source Sans Pro" w:eastAsia="Source Sans Pro" w:hAnsi="Source Sans Pro" w:cs="Times New Roman"/>
        </w:rPr>
      </w:pPr>
      <w:r>
        <w:rPr>
          <w:rFonts w:ascii="Source Sans Pro" w:eastAsia="Source Sans Pro" w:hAnsi="Source Sans Pro" w:cs="Times New Roman"/>
        </w:rPr>
        <w:t xml:space="preserve">We look forward to engaging with FSRA around our comments, with the goal to </w:t>
      </w:r>
      <w:r w:rsidR="00971B29">
        <w:rPr>
          <w:rFonts w:ascii="Source Sans Pro" w:eastAsia="Source Sans Pro" w:hAnsi="Source Sans Pro" w:cs="Times New Roman"/>
        </w:rPr>
        <w:t xml:space="preserve">enhance the </w:t>
      </w:r>
      <w:r w:rsidR="00C55A89">
        <w:rPr>
          <w:rFonts w:ascii="Source Sans Pro" w:eastAsia="Source Sans Pro" w:hAnsi="Source Sans Pro" w:cs="Times New Roman"/>
        </w:rPr>
        <w:t>Proposed R</w:t>
      </w:r>
      <w:r w:rsidR="00971B29">
        <w:rPr>
          <w:rFonts w:ascii="Source Sans Pro" w:eastAsia="Source Sans Pro" w:hAnsi="Source Sans Pro" w:cs="Times New Roman"/>
        </w:rPr>
        <w:t xml:space="preserve">ule for all </w:t>
      </w:r>
      <w:r w:rsidR="00C55A89">
        <w:rPr>
          <w:rFonts w:ascii="Source Sans Pro" w:eastAsia="Source Sans Pro" w:hAnsi="Source Sans Pro" w:cs="Times New Roman"/>
        </w:rPr>
        <w:t>C</w:t>
      </w:r>
      <w:r w:rsidR="00971B29">
        <w:rPr>
          <w:rFonts w:ascii="Source Sans Pro" w:eastAsia="Source Sans Pro" w:hAnsi="Source Sans Pro" w:cs="Times New Roman"/>
        </w:rPr>
        <w:t xml:space="preserve">redit </w:t>
      </w:r>
      <w:r w:rsidR="00C55A89">
        <w:rPr>
          <w:rFonts w:ascii="Source Sans Pro" w:eastAsia="Source Sans Pro" w:hAnsi="Source Sans Pro" w:cs="Times New Roman"/>
        </w:rPr>
        <w:t>U</w:t>
      </w:r>
      <w:r w:rsidR="00971B29">
        <w:rPr>
          <w:rFonts w:ascii="Source Sans Pro" w:eastAsia="Source Sans Pro" w:hAnsi="Source Sans Pro" w:cs="Times New Roman"/>
        </w:rPr>
        <w:t xml:space="preserve">nions and members. </w:t>
      </w:r>
    </w:p>
    <w:p w14:paraId="7E21D106" w14:textId="77777777" w:rsidR="003C7186" w:rsidRDefault="003C7186" w:rsidP="008035A0">
      <w:pPr>
        <w:spacing w:after="0" w:line="240" w:lineRule="auto"/>
        <w:rPr>
          <w:rFonts w:ascii="Source Sans Pro" w:eastAsia="Source Sans Pro" w:hAnsi="Source Sans Pro" w:cs="Times New Roman"/>
        </w:rPr>
      </w:pPr>
    </w:p>
    <w:p w14:paraId="725CD52E" w14:textId="77777777" w:rsidR="00005304" w:rsidRDefault="00005304" w:rsidP="008035A0">
      <w:pPr>
        <w:spacing w:after="0" w:line="240" w:lineRule="auto"/>
        <w:rPr>
          <w:rFonts w:ascii="Source Sans Pro" w:eastAsia="Source Sans Pro" w:hAnsi="Source Sans Pro" w:cs="Times New Roman"/>
        </w:rPr>
      </w:pPr>
    </w:p>
    <w:p w14:paraId="6E6B3C2C" w14:textId="77777777" w:rsidR="00005304" w:rsidRDefault="00005304" w:rsidP="008035A0">
      <w:pPr>
        <w:spacing w:after="0" w:line="240" w:lineRule="auto"/>
        <w:rPr>
          <w:rFonts w:ascii="Source Sans Pro" w:eastAsia="Source Sans Pro" w:hAnsi="Source Sans Pro" w:cs="Times New Roman"/>
        </w:rPr>
      </w:pPr>
    </w:p>
    <w:p w14:paraId="22F04492" w14:textId="77777777" w:rsidR="00005304" w:rsidRDefault="00005304" w:rsidP="008035A0">
      <w:pPr>
        <w:spacing w:after="0" w:line="240" w:lineRule="auto"/>
        <w:rPr>
          <w:rFonts w:ascii="Source Sans Pro" w:eastAsia="Source Sans Pro" w:hAnsi="Source Sans Pro" w:cs="Times New Roman"/>
        </w:rPr>
      </w:pPr>
    </w:p>
    <w:p w14:paraId="76834DC2" w14:textId="77777777" w:rsidR="00005304" w:rsidRDefault="00005304" w:rsidP="008035A0">
      <w:pPr>
        <w:spacing w:after="0" w:line="240" w:lineRule="auto"/>
        <w:rPr>
          <w:rFonts w:ascii="Source Sans Pro" w:eastAsia="Source Sans Pro" w:hAnsi="Source Sans Pro" w:cs="Times New Roman"/>
        </w:rPr>
      </w:pPr>
    </w:p>
    <w:p w14:paraId="264AF893" w14:textId="77777777" w:rsidR="00005304" w:rsidRDefault="00005304" w:rsidP="008035A0">
      <w:pPr>
        <w:spacing w:after="0" w:line="240" w:lineRule="auto"/>
        <w:rPr>
          <w:rFonts w:ascii="Source Sans Pro" w:eastAsia="Source Sans Pro" w:hAnsi="Source Sans Pro" w:cs="Times New Roman"/>
        </w:rPr>
      </w:pPr>
    </w:p>
    <w:p w14:paraId="252EE4DD" w14:textId="77777777" w:rsidR="00005304" w:rsidRDefault="00005304" w:rsidP="008035A0">
      <w:pPr>
        <w:spacing w:after="0" w:line="240" w:lineRule="auto"/>
        <w:rPr>
          <w:rFonts w:ascii="Source Sans Pro" w:eastAsia="Source Sans Pro" w:hAnsi="Source Sans Pro" w:cs="Times New Roman"/>
        </w:rPr>
      </w:pPr>
    </w:p>
    <w:p w14:paraId="130EB460" w14:textId="77777777" w:rsidR="00005304" w:rsidRDefault="00005304" w:rsidP="008035A0">
      <w:pPr>
        <w:spacing w:after="0" w:line="240" w:lineRule="auto"/>
        <w:rPr>
          <w:rFonts w:ascii="Source Sans Pro" w:eastAsia="Source Sans Pro" w:hAnsi="Source Sans Pro" w:cs="Times New Roman"/>
        </w:rPr>
      </w:pPr>
    </w:p>
    <w:p w14:paraId="362A824B" w14:textId="77777777" w:rsidR="00005304" w:rsidRDefault="00005304" w:rsidP="008035A0">
      <w:pPr>
        <w:spacing w:after="0" w:line="240" w:lineRule="auto"/>
        <w:rPr>
          <w:rFonts w:ascii="Source Sans Pro" w:eastAsia="Source Sans Pro" w:hAnsi="Source Sans Pro" w:cs="Times New Roman"/>
        </w:rPr>
      </w:pPr>
    </w:p>
    <w:p w14:paraId="17D552A9" w14:textId="77777777" w:rsidR="00005304" w:rsidRDefault="00005304" w:rsidP="008035A0">
      <w:pPr>
        <w:spacing w:after="0" w:line="240" w:lineRule="auto"/>
        <w:rPr>
          <w:rFonts w:ascii="Source Sans Pro" w:eastAsia="Source Sans Pro" w:hAnsi="Source Sans Pro" w:cs="Times New Roman"/>
        </w:rPr>
      </w:pPr>
    </w:p>
    <w:p w14:paraId="6DD0E7F2" w14:textId="77777777" w:rsidR="00005304" w:rsidRDefault="00005304" w:rsidP="008035A0">
      <w:pPr>
        <w:spacing w:after="0" w:line="240" w:lineRule="auto"/>
        <w:rPr>
          <w:rFonts w:ascii="Source Sans Pro" w:eastAsia="Source Sans Pro" w:hAnsi="Source Sans Pro" w:cs="Times New Roman"/>
        </w:rPr>
      </w:pPr>
    </w:p>
    <w:p w14:paraId="025F24DB" w14:textId="77777777" w:rsidR="00005304" w:rsidRDefault="00005304" w:rsidP="008035A0">
      <w:pPr>
        <w:spacing w:after="0" w:line="240" w:lineRule="auto"/>
        <w:rPr>
          <w:rFonts w:ascii="Source Sans Pro" w:eastAsia="Source Sans Pro" w:hAnsi="Source Sans Pro" w:cs="Times New Roman"/>
        </w:rPr>
      </w:pPr>
    </w:p>
    <w:p w14:paraId="17159571" w14:textId="77777777" w:rsidR="00005304" w:rsidRDefault="00005304" w:rsidP="008035A0">
      <w:pPr>
        <w:spacing w:after="0" w:line="240" w:lineRule="auto"/>
        <w:rPr>
          <w:rFonts w:ascii="Source Sans Pro" w:eastAsia="Source Sans Pro" w:hAnsi="Source Sans Pro" w:cs="Times New Roman"/>
        </w:rPr>
      </w:pPr>
    </w:p>
    <w:p w14:paraId="3212C627" w14:textId="77777777" w:rsidR="00005304" w:rsidRDefault="00005304" w:rsidP="008035A0">
      <w:pPr>
        <w:spacing w:after="0" w:line="240" w:lineRule="auto"/>
        <w:rPr>
          <w:rFonts w:ascii="Source Sans Pro" w:eastAsia="Source Sans Pro" w:hAnsi="Source Sans Pro" w:cs="Times New Roman"/>
        </w:rPr>
      </w:pPr>
    </w:p>
    <w:p w14:paraId="15489632" w14:textId="77777777" w:rsidR="00005304" w:rsidRDefault="00005304" w:rsidP="008035A0">
      <w:pPr>
        <w:spacing w:after="0" w:line="240" w:lineRule="auto"/>
        <w:rPr>
          <w:rFonts w:ascii="Source Sans Pro" w:eastAsia="Source Sans Pro" w:hAnsi="Source Sans Pro" w:cs="Times New Roman"/>
        </w:rPr>
      </w:pPr>
    </w:p>
    <w:p w14:paraId="1CB6AF58" w14:textId="77777777" w:rsidR="00005304" w:rsidRDefault="00005304" w:rsidP="008035A0">
      <w:pPr>
        <w:spacing w:after="0" w:line="240" w:lineRule="auto"/>
        <w:rPr>
          <w:rFonts w:ascii="Source Sans Pro" w:eastAsia="Source Sans Pro" w:hAnsi="Source Sans Pro" w:cs="Times New Roman"/>
        </w:rPr>
      </w:pPr>
    </w:p>
    <w:p w14:paraId="277178C5" w14:textId="77777777" w:rsidR="00005304" w:rsidRDefault="00005304" w:rsidP="008035A0">
      <w:pPr>
        <w:spacing w:after="0" w:line="240" w:lineRule="auto"/>
        <w:rPr>
          <w:rFonts w:ascii="Source Sans Pro" w:eastAsia="Source Sans Pro" w:hAnsi="Source Sans Pro" w:cs="Times New Roman"/>
        </w:rPr>
      </w:pPr>
    </w:p>
    <w:p w14:paraId="4BE8C623" w14:textId="77777777" w:rsidR="00D0405A" w:rsidRDefault="00D0405A" w:rsidP="008035A0">
      <w:pPr>
        <w:spacing w:after="0" w:line="240" w:lineRule="auto"/>
        <w:rPr>
          <w:rFonts w:ascii="Source Sans Pro" w:eastAsia="Source Sans Pro" w:hAnsi="Source Sans Pro" w:cs="Times New Roman"/>
          <w:b/>
          <w:bCs/>
          <w:color w:val="5F497A" w:themeColor="accent4" w:themeShade="BF"/>
          <w:sz w:val="28"/>
          <w:szCs w:val="28"/>
          <w:u w:val="single"/>
        </w:rPr>
      </w:pPr>
    </w:p>
    <w:p w14:paraId="4E19888D" w14:textId="77777777" w:rsidR="00D0405A" w:rsidRDefault="00D0405A" w:rsidP="008035A0">
      <w:pPr>
        <w:spacing w:after="0" w:line="240" w:lineRule="auto"/>
        <w:rPr>
          <w:rFonts w:ascii="Source Sans Pro" w:eastAsia="Source Sans Pro" w:hAnsi="Source Sans Pro" w:cs="Times New Roman"/>
          <w:b/>
          <w:bCs/>
          <w:color w:val="5F497A" w:themeColor="accent4" w:themeShade="BF"/>
          <w:sz w:val="28"/>
          <w:szCs w:val="28"/>
          <w:u w:val="single"/>
        </w:rPr>
      </w:pPr>
    </w:p>
    <w:p w14:paraId="7F57F434" w14:textId="3C0605CE" w:rsidR="00C42674" w:rsidRPr="00C42674" w:rsidRDefault="00005304" w:rsidP="008035A0">
      <w:pPr>
        <w:spacing w:after="0" w:line="240" w:lineRule="auto"/>
        <w:rPr>
          <w:rFonts w:ascii="Source Sans Pro" w:eastAsia="Source Sans Pro" w:hAnsi="Source Sans Pro" w:cs="Times New Roman"/>
          <w:b/>
          <w:bCs/>
          <w:color w:val="5F497A" w:themeColor="accent4" w:themeShade="BF"/>
          <w:sz w:val="28"/>
          <w:szCs w:val="28"/>
          <w:u w:val="single"/>
        </w:rPr>
      </w:pPr>
      <w:r>
        <w:rPr>
          <w:rFonts w:ascii="Source Sans Pro" w:eastAsia="Source Sans Pro" w:hAnsi="Source Sans Pro" w:cs="Times New Roman"/>
          <w:b/>
          <w:bCs/>
          <w:color w:val="5F497A" w:themeColor="accent4" w:themeShade="BF"/>
          <w:sz w:val="28"/>
          <w:szCs w:val="28"/>
          <w:u w:val="single"/>
        </w:rPr>
        <w:lastRenderedPageBreak/>
        <w:t>A</w:t>
      </w:r>
      <w:r w:rsidR="00C42674" w:rsidRPr="00C42674">
        <w:rPr>
          <w:rFonts w:ascii="Source Sans Pro" w:eastAsia="Source Sans Pro" w:hAnsi="Source Sans Pro" w:cs="Times New Roman"/>
          <w:b/>
          <w:bCs/>
          <w:color w:val="5F497A" w:themeColor="accent4" w:themeShade="BF"/>
          <w:sz w:val="28"/>
          <w:szCs w:val="28"/>
          <w:u w:val="single"/>
        </w:rPr>
        <w:t>ppendix A</w:t>
      </w:r>
    </w:p>
    <w:p w14:paraId="6C406EA4" w14:textId="77777777" w:rsidR="00C42674" w:rsidRDefault="00C42674" w:rsidP="008035A0">
      <w:pPr>
        <w:spacing w:after="0" w:line="240" w:lineRule="auto"/>
        <w:rPr>
          <w:rFonts w:ascii="Source Sans Pro" w:eastAsia="Source Sans Pro" w:hAnsi="Source Sans Pro" w:cs="Times New Roman"/>
          <w:b/>
          <w:bCs/>
          <w:color w:val="5F497A" w:themeColor="accent4" w:themeShade="BF"/>
          <w:sz w:val="28"/>
          <w:szCs w:val="28"/>
        </w:rPr>
      </w:pPr>
    </w:p>
    <w:p w14:paraId="7EE17E3D" w14:textId="77777777" w:rsidR="008035A0" w:rsidRPr="00C42674" w:rsidRDefault="008035A0" w:rsidP="008035A0">
      <w:pPr>
        <w:spacing w:after="0" w:line="240" w:lineRule="auto"/>
        <w:rPr>
          <w:rFonts w:ascii="Source Sans Pro" w:eastAsia="Source Sans Pro" w:hAnsi="Source Sans Pro" w:cs="Times New Roman"/>
          <w:b/>
          <w:bCs/>
          <w:color w:val="5F497A" w:themeColor="accent4" w:themeShade="BF"/>
          <w:sz w:val="24"/>
          <w:szCs w:val="24"/>
        </w:rPr>
      </w:pPr>
      <w:r w:rsidRPr="00C42674">
        <w:rPr>
          <w:rFonts w:ascii="Source Sans Pro" w:eastAsia="Source Sans Pro" w:hAnsi="Source Sans Pro" w:cs="Times New Roman"/>
          <w:b/>
          <w:bCs/>
          <w:color w:val="5F497A" w:themeColor="accent4" w:themeShade="BF"/>
          <w:sz w:val="24"/>
          <w:szCs w:val="24"/>
        </w:rPr>
        <w:t xml:space="preserve">Section </w:t>
      </w:r>
      <w:r w:rsidR="00BA76A9">
        <w:rPr>
          <w:rFonts w:ascii="Source Sans Pro" w:eastAsia="Source Sans Pro" w:hAnsi="Source Sans Pro" w:cs="Times New Roman"/>
          <w:b/>
          <w:bCs/>
          <w:color w:val="5F497A" w:themeColor="accent4" w:themeShade="BF"/>
          <w:sz w:val="24"/>
          <w:szCs w:val="24"/>
        </w:rPr>
        <w:t>11</w:t>
      </w:r>
      <w:r w:rsidRPr="00C42674">
        <w:rPr>
          <w:rFonts w:ascii="Source Sans Pro" w:eastAsia="Source Sans Pro" w:hAnsi="Source Sans Pro" w:cs="Times New Roman"/>
          <w:b/>
          <w:bCs/>
          <w:color w:val="5F497A" w:themeColor="accent4" w:themeShade="BF"/>
          <w:sz w:val="24"/>
          <w:szCs w:val="24"/>
        </w:rPr>
        <w:t xml:space="preserve">: </w:t>
      </w:r>
      <w:r w:rsidR="00BA76A9">
        <w:rPr>
          <w:rFonts w:ascii="Source Sans Pro" w:eastAsia="Source Sans Pro" w:hAnsi="Source Sans Pro" w:cs="Times New Roman"/>
          <w:b/>
          <w:bCs/>
          <w:color w:val="5F497A" w:themeColor="accent4" w:themeShade="BF"/>
          <w:sz w:val="24"/>
          <w:szCs w:val="24"/>
        </w:rPr>
        <w:t>Transition</w:t>
      </w:r>
      <w:r w:rsidR="00316C6E">
        <w:rPr>
          <w:rFonts w:ascii="Source Sans Pro" w:eastAsia="Source Sans Pro" w:hAnsi="Source Sans Pro" w:cs="Times New Roman"/>
          <w:b/>
          <w:bCs/>
          <w:color w:val="5F497A" w:themeColor="accent4" w:themeShade="BF"/>
          <w:sz w:val="24"/>
          <w:szCs w:val="24"/>
        </w:rPr>
        <w:t xml:space="preserve"> Rule for Minimum Capital Ratios and Capital Conservation Buffer</w:t>
      </w:r>
      <w:r w:rsidRPr="00C42674">
        <w:rPr>
          <w:rFonts w:ascii="Source Sans Pro" w:eastAsia="Source Sans Pro" w:hAnsi="Source Sans Pro" w:cs="Times New Roman"/>
          <w:b/>
          <w:bCs/>
          <w:color w:val="5F497A" w:themeColor="accent4" w:themeShade="BF"/>
          <w:sz w:val="24"/>
          <w:szCs w:val="24"/>
        </w:rPr>
        <w:t xml:space="preserve"> </w:t>
      </w:r>
    </w:p>
    <w:p w14:paraId="2BB4E352" w14:textId="77777777" w:rsidR="00BA2287" w:rsidRDefault="00BA2287" w:rsidP="008A06A0">
      <w:pPr>
        <w:spacing w:after="0" w:line="240" w:lineRule="auto"/>
        <w:rPr>
          <w:rFonts w:ascii="Source Sans Pro" w:eastAsia="Source Sans Pro" w:hAnsi="Source Sans Pro" w:cs="Times New Roman"/>
        </w:rPr>
      </w:pPr>
    </w:p>
    <w:tbl>
      <w:tblPr>
        <w:tblStyle w:val="TableGrid"/>
        <w:tblW w:w="11737" w:type="dxa"/>
        <w:tblInd w:w="-1139" w:type="dxa"/>
        <w:tblLook w:val="04A0" w:firstRow="1" w:lastRow="0" w:firstColumn="1" w:lastColumn="0" w:noHBand="0" w:noVBand="1"/>
      </w:tblPr>
      <w:tblGrid>
        <w:gridCol w:w="1389"/>
        <w:gridCol w:w="10348"/>
      </w:tblGrid>
      <w:tr w:rsidR="008A06A0" w14:paraId="46B66E3F" w14:textId="77777777" w:rsidTr="00D336AA">
        <w:tc>
          <w:tcPr>
            <w:tcW w:w="1389" w:type="dxa"/>
          </w:tcPr>
          <w:p w14:paraId="55818FB0" w14:textId="77777777" w:rsidR="008A06A0" w:rsidRPr="002B7015" w:rsidRDefault="008A06A0" w:rsidP="008A06A0">
            <w:pPr>
              <w:rPr>
                <w:rFonts w:ascii="Source Sans Pro" w:eastAsia="Source Sans Pro" w:hAnsi="Source Sans Pro" w:cs="Times New Roman"/>
                <w:b/>
                <w:bCs/>
              </w:rPr>
            </w:pPr>
            <w:r w:rsidRPr="002B7015">
              <w:rPr>
                <w:rFonts w:ascii="Source Sans Pro" w:eastAsia="Source Sans Pro" w:hAnsi="Source Sans Pro" w:cs="Times New Roman"/>
                <w:b/>
                <w:bCs/>
              </w:rPr>
              <w:t>Section</w:t>
            </w:r>
          </w:p>
        </w:tc>
        <w:tc>
          <w:tcPr>
            <w:tcW w:w="10348" w:type="dxa"/>
          </w:tcPr>
          <w:p w14:paraId="6672370A" w14:textId="77777777" w:rsidR="008A06A0" w:rsidRPr="002B7015" w:rsidRDefault="008A06A0" w:rsidP="008A06A0">
            <w:pPr>
              <w:rPr>
                <w:rFonts w:ascii="Source Sans Pro" w:eastAsia="Source Sans Pro" w:hAnsi="Source Sans Pro" w:cs="Times New Roman"/>
                <w:b/>
                <w:bCs/>
              </w:rPr>
            </w:pPr>
            <w:r w:rsidRPr="002B7015">
              <w:rPr>
                <w:rFonts w:ascii="Source Sans Pro" w:eastAsia="Source Sans Pro" w:hAnsi="Source Sans Pro" w:cs="Times New Roman"/>
                <w:b/>
                <w:bCs/>
              </w:rPr>
              <w:t>Comments / Unintended Consequences and Impact</w:t>
            </w:r>
          </w:p>
        </w:tc>
      </w:tr>
      <w:tr w:rsidR="008A06A0" w14:paraId="73E11CE5" w14:textId="77777777" w:rsidTr="00D336AA">
        <w:tc>
          <w:tcPr>
            <w:tcW w:w="1389" w:type="dxa"/>
          </w:tcPr>
          <w:p w14:paraId="5FB04B24" w14:textId="77777777" w:rsidR="008A06A0" w:rsidRDefault="00936BF2" w:rsidP="008A06A0">
            <w:pPr>
              <w:rPr>
                <w:rFonts w:ascii="Source Sans Pro" w:eastAsia="Source Sans Pro" w:hAnsi="Source Sans Pro" w:cs="Times New Roman"/>
              </w:rPr>
            </w:pPr>
            <w:r>
              <w:rPr>
                <w:rFonts w:ascii="Source Sans Pro" w:eastAsia="Source Sans Pro" w:hAnsi="Source Sans Pro" w:cs="Times New Roman"/>
              </w:rPr>
              <w:t>11</w:t>
            </w:r>
            <w:r w:rsidR="00C86DB2">
              <w:rPr>
                <w:rFonts w:ascii="Source Sans Pro" w:eastAsia="Source Sans Pro" w:hAnsi="Source Sans Pro" w:cs="Times New Roman"/>
              </w:rPr>
              <w:t>(1)</w:t>
            </w:r>
          </w:p>
        </w:tc>
        <w:tc>
          <w:tcPr>
            <w:tcW w:w="10348" w:type="dxa"/>
          </w:tcPr>
          <w:p w14:paraId="093F7F45" w14:textId="77777777" w:rsidR="008A06A0" w:rsidRPr="008B3281" w:rsidRDefault="005320BA" w:rsidP="008A06A0">
            <w:pPr>
              <w:rPr>
                <w:rFonts w:ascii="Source Sans Pro" w:eastAsia="Source Sans Pro" w:hAnsi="Source Sans Pro" w:cs="Times New Roman"/>
                <w:b/>
                <w:bCs/>
              </w:rPr>
            </w:pPr>
            <w:r w:rsidRPr="008B3281">
              <w:rPr>
                <w:rFonts w:ascii="Source Sans Pro" w:eastAsia="Source Sans Pro" w:hAnsi="Source Sans Pro" w:cs="Times New Roman"/>
                <w:b/>
                <w:bCs/>
              </w:rPr>
              <w:t>Commentary</w:t>
            </w:r>
          </w:p>
          <w:p w14:paraId="64022FB7" w14:textId="6B66E77B" w:rsidR="005320BA" w:rsidRDefault="00102F7B" w:rsidP="005320BA">
            <w:pPr>
              <w:pStyle w:val="ListParagraph"/>
              <w:numPr>
                <w:ilvl w:val="0"/>
                <w:numId w:val="4"/>
              </w:numPr>
              <w:rPr>
                <w:rFonts w:ascii="Source Sans Pro" w:eastAsia="Source Sans Pro" w:hAnsi="Source Sans Pro" w:cs="Times New Roman"/>
              </w:rPr>
            </w:pPr>
            <w:r>
              <w:rPr>
                <w:rFonts w:ascii="Source Sans Pro" w:eastAsia="Source Sans Pro" w:hAnsi="Source Sans Pro" w:cs="Times New Roman"/>
              </w:rPr>
              <w:t xml:space="preserve">Currently no transition period is contemplated by the Proposed </w:t>
            </w:r>
            <w:r w:rsidR="00D561DB">
              <w:rPr>
                <w:rFonts w:ascii="Source Sans Pro" w:eastAsia="Source Sans Pro" w:hAnsi="Source Sans Pro" w:cs="Times New Roman"/>
              </w:rPr>
              <w:t xml:space="preserve">Rule despite </w:t>
            </w:r>
            <w:r w:rsidR="00AF1A03">
              <w:rPr>
                <w:rFonts w:ascii="Source Sans Pro" w:eastAsia="Source Sans Pro" w:hAnsi="Source Sans Pro" w:cs="Times New Roman"/>
              </w:rPr>
              <w:t xml:space="preserve">adding a </w:t>
            </w:r>
            <w:r w:rsidR="008714D7">
              <w:rPr>
                <w:rFonts w:ascii="Source Sans Pro" w:eastAsia="Source Sans Pro" w:hAnsi="Source Sans Pro" w:cs="Times New Roman"/>
              </w:rPr>
              <w:t>2.5% capital conservation buffer which i</w:t>
            </w:r>
            <w:r w:rsidR="00D561DB">
              <w:rPr>
                <w:rFonts w:ascii="Source Sans Pro" w:eastAsia="Source Sans Pro" w:hAnsi="Source Sans Pro" w:cs="Times New Roman"/>
              </w:rPr>
              <w:t>ncreas</w:t>
            </w:r>
            <w:r w:rsidR="004E0B62">
              <w:rPr>
                <w:rFonts w:ascii="Source Sans Pro" w:eastAsia="Source Sans Pro" w:hAnsi="Source Sans Pro" w:cs="Times New Roman"/>
              </w:rPr>
              <w:t>es</w:t>
            </w:r>
            <w:r w:rsidR="00D561DB">
              <w:rPr>
                <w:rFonts w:ascii="Source Sans Pro" w:eastAsia="Source Sans Pro" w:hAnsi="Source Sans Pro" w:cs="Times New Roman"/>
              </w:rPr>
              <w:t xml:space="preserve"> </w:t>
            </w:r>
            <w:r w:rsidR="004E0B62">
              <w:rPr>
                <w:rFonts w:ascii="Source Sans Pro" w:eastAsia="Source Sans Pro" w:hAnsi="Source Sans Pro" w:cs="Times New Roman"/>
              </w:rPr>
              <w:t xml:space="preserve">the </w:t>
            </w:r>
            <w:r w:rsidR="00D561DB">
              <w:rPr>
                <w:rFonts w:ascii="Source Sans Pro" w:eastAsia="Source Sans Pro" w:hAnsi="Source Sans Pro" w:cs="Times New Roman"/>
              </w:rPr>
              <w:t xml:space="preserve">minimum Tier 1 capital ratio </w:t>
            </w:r>
            <w:r w:rsidR="008714D7">
              <w:rPr>
                <w:rFonts w:ascii="Source Sans Pro" w:eastAsia="Source Sans Pro" w:hAnsi="Source Sans Pro" w:cs="Times New Roman"/>
              </w:rPr>
              <w:t xml:space="preserve">to 9% and </w:t>
            </w:r>
            <w:r w:rsidR="00A61E3C">
              <w:rPr>
                <w:rFonts w:ascii="Source Sans Pro" w:eastAsia="Source Sans Pro" w:hAnsi="Source Sans Pro" w:cs="Times New Roman"/>
              </w:rPr>
              <w:t>minimum total supervisory capital to 10.5%</w:t>
            </w:r>
            <w:r w:rsidR="0087228A">
              <w:rPr>
                <w:rFonts w:ascii="Source Sans Pro" w:eastAsia="Source Sans Pro" w:hAnsi="Source Sans Pro" w:cs="Times New Roman"/>
              </w:rPr>
              <w:t>.</w:t>
            </w:r>
            <w:r w:rsidR="00D561DB">
              <w:rPr>
                <w:rFonts w:ascii="Source Sans Pro" w:eastAsia="Source Sans Pro" w:hAnsi="Source Sans Pro" w:cs="Times New Roman"/>
              </w:rPr>
              <w:t xml:space="preserve"> </w:t>
            </w:r>
            <w:r w:rsidR="000C0984">
              <w:rPr>
                <w:rFonts w:ascii="Source Sans Pro" w:eastAsia="Source Sans Pro" w:hAnsi="Source Sans Pro" w:cs="Times New Roman"/>
              </w:rPr>
              <w:t xml:space="preserve"> </w:t>
            </w:r>
          </w:p>
          <w:p w14:paraId="13055706" w14:textId="2DA87F51" w:rsidR="004203E3" w:rsidRDefault="004203E3" w:rsidP="005320BA">
            <w:pPr>
              <w:pStyle w:val="ListParagraph"/>
              <w:numPr>
                <w:ilvl w:val="0"/>
                <w:numId w:val="4"/>
              </w:numPr>
              <w:rPr>
                <w:rFonts w:ascii="Source Sans Pro" w:eastAsia="Source Sans Pro" w:hAnsi="Source Sans Pro" w:cs="Times New Roman"/>
              </w:rPr>
            </w:pPr>
            <w:r>
              <w:rPr>
                <w:rFonts w:ascii="Source Sans Pro" w:eastAsia="Source Sans Pro" w:hAnsi="Source Sans Pro" w:cs="Times New Roman"/>
              </w:rPr>
              <w:t xml:space="preserve">We </w:t>
            </w:r>
            <w:r w:rsidR="00807467">
              <w:rPr>
                <w:rFonts w:ascii="Source Sans Pro" w:eastAsia="Source Sans Pro" w:hAnsi="Source Sans Pro" w:cs="Times New Roman"/>
              </w:rPr>
              <w:t xml:space="preserve">continue to </w:t>
            </w:r>
            <w:r w:rsidR="00802FB0">
              <w:rPr>
                <w:rFonts w:ascii="Source Sans Pro" w:eastAsia="Source Sans Pro" w:hAnsi="Source Sans Pro" w:cs="Times New Roman"/>
              </w:rPr>
              <w:t xml:space="preserve">support </w:t>
            </w:r>
            <w:r w:rsidR="00361494">
              <w:rPr>
                <w:rFonts w:ascii="Source Sans Pro" w:eastAsia="Source Sans Pro" w:hAnsi="Source Sans Pro" w:cs="Times New Roman"/>
              </w:rPr>
              <w:t>a risk</w:t>
            </w:r>
            <w:r w:rsidR="00262B2B">
              <w:rPr>
                <w:rFonts w:ascii="Source Sans Pro" w:eastAsia="Source Sans Pro" w:hAnsi="Source Sans Pro" w:cs="Times New Roman"/>
              </w:rPr>
              <w:t>-</w:t>
            </w:r>
            <w:r w:rsidR="00361494">
              <w:rPr>
                <w:rFonts w:ascii="Source Sans Pro" w:eastAsia="Source Sans Pro" w:hAnsi="Source Sans Pro" w:cs="Times New Roman"/>
              </w:rPr>
              <w:t xml:space="preserve">based approach in evaluating </w:t>
            </w:r>
            <w:r w:rsidR="00807467">
              <w:rPr>
                <w:rFonts w:ascii="Source Sans Pro" w:eastAsia="Source Sans Pro" w:hAnsi="Source Sans Pro" w:cs="Times New Roman"/>
              </w:rPr>
              <w:t xml:space="preserve">adequacy of capital </w:t>
            </w:r>
            <w:r w:rsidR="003D6425">
              <w:rPr>
                <w:rFonts w:ascii="Source Sans Pro" w:eastAsia="Source Sans Pro" w:hAnsi="Source Sans Pro" w:cs="Times New Roman"/>
              </w:rPr>
              <w:t xml:space="preserve">and believe the current Internal Capital Adequacy Assessment Process (ICAAP) is sufficient </w:t>
            </w:r>
            <w:r w:rsidR="00240B4F">
              <w:rPr>
                <w:rFonts w:ascii="Source Sans Pro" w:eastAsia="Source Sans Pro" w:hAnsi="Source Sans Pro" w:cs="Times New Roman"/>
              </w:rPr>
              <w:t>in ensuring management considers Pillar 1, 2 and stress testing requirements on capital</w:t>
            </w:r>
            <w:r w:rsidR="0085493D">
              <w:rPr>
                <w:rFonts w:ascii="Source Sans Pro" w:eastAsia="Source Sans Pro" w:hAnsi="Source Sans Pro" w:cs="Times New Roman"/>
              </w:rPr>
              <w:t>. This approach also ensures that the unique circumstances of individual Credit Union</w:t>
            </w:r>
            <w:r w:rsidR="00276579">
              <w:rPr>
                <w:rFonts w:ascii="Source Sans Pro" w:eastAsia="Source Sans Pro" w:hAnsi="Source Sans Pro" w:cs="Times New Roman"/>
              </w:rPr>
              <w:t>s</w:t>
            </w:r>
            <w:r w:rsidR="0085493D">
              <w:rPr>
                <w:rFonts w:ascii="Source Sans Pro" w:eastAsia="Source Sans Pro" w:hAnsi="Source Sans Pro" w:cs="Times New Roman"/>
              </w:rPr>
              <w:t xml:space="preserve"> are considered rather than a one size fits all </w:t>
            </w:r>
            <w:r w:rsidR="00276579">
              <w:rPr>
                <w:rFonts w:ascii="Source Sans Pro" w:eastAsia="Source Sans Pro" w:hAnsi="Source Sans Pro" w:cs="Times New Roman"/>
              </w:rPr>
              <w:t xml:space="preserve">approach via a </w:t>
            </w:r>
            <w:r w:rsidR="0085493D">
              <w:rPr>
                <w:rFonts w:ascii="Source Sans Pro" w:eastAsia="Source Sans Pro" w:hAnsi="Source Sans Pro" w:cs="Times New Roman"/>
              </w:rPr>
              <w:t>2.5% capital buffer</w:t>
            </w:r>
            <w:r w:rsidR="00450FB2">
              <w:rPr>
                <w:rFonts w:ascii="Source Sans Pro" w:eastAsia="Source Sans Pro" w:hAnsi="Source Sans Pro" w:cs="Times New Roman"/>
              </w:rPr>
              <w:t xml:space="preserve">. </w:t>
            </w:r>
          </w:p>
          <w:p w14:paraId="42ED5B6B" w14:textId="473E1BF3" w:rsidR="008E609D" w:rsidRDefault="00441E93" w:rsidP="005320BA">
            <w:pPr>
              <w:pStyle w:val="ListParagraph"/>
              <w:numPr>
                <w:ilvl w:val="0"/>
                <w:numId w:val="4"/>
              </w:numPr>
              <w:rPr>
                <w:rFonts w:ascii="Source Sans Pro" w:eastAsia="Source Sans Pro" w:hAnsi="Source Sans Pro" w:cs="Times New Roman"/>
              </w:rPr>
            </w:pPr>
            <w:r>
              <w:rPr>
                <w:rFonts w:ascii="Source Sans Pro" w:eastAsia="Source Sans Pro" w:hAnsi="Source Sans Pro" w:cs="Times New Roman"/>
              </w:rPr>
              <w:t>In addition, t</w:t>
            </w:r>
            <w:r w:rsidR="0088657B">
              <w:rPr>
                <w:rFonts w:ascii="Source Sans Pro" w:eastAsia="Source Sans Pro" w:hAnsi="Source Sans Pro" w:cs="Times New Roman"/>
              </w:rPr>
              <w:t>he</w:t>
            </w:r>
            <w:r w:rsidR="008E609D">
              <w:rPr>
                <w:rFonts w:ascii="Source Sans Pro" w:eastAsia="Source Sans Pro" w:hAnsi="Source Sans Pro" w:cs="Times New Roman"/>
              </w:rPr>
              <w:t xml:space="preserve"> </w:t>
            </w:r>
            <w:r w:rsidR="00417AB0">
              <w:rPr>
                <w:rFonts w:ascii="Source Sans Pro" w:eastAsia="Source Sans Pro" w:hAnsi="Source Sans Pro" w:cs="Times New Roman"/>
              </w:rPr>
              <w:t>presumption</w:t>
            </w:r>
            <w:r w:rsidR="008E609D">
              <w:rPr>
                <w:rFonts w:ascii="Source Sans Pro" w:eastAsia="Source Sans Pro" w:hAnsi="Source Sans Pro" w:cs="Times New Roman"/>
              </w:rPr>
              <w:t xml:space="preserve"> that almost all of Ontario’s Credit Unions currently either meet or exceed the requirements specified in the Proposed Rule </w:t>
            </w:r>
            <w:r w:rsidR="0088657B">
              <w:rPr>
                <w:rFonts w:ascii="Source Sans Pro" w:eastAsia="Source Sans Pro" w:hAnsi="Source Sans Pro" w:cs="Times New Roman"/>
              </w:rPr>
              <w:t xml:space="preserve">may be </w:t>
            </w:r>
            <w:r w:rsidR="004A185B">
              <w:rPr>
                <w:rFonts w:ascii="Source Sans Pro" w:eastAsia="Source Sans Pro" w:hAnsi="Source Sans Pro" w:cs="Times New Roman"/>
              </w:rPr>
              <w:t xml:space="preserve">inaccurate </w:t>
            </w:r>
            <w:r w:rsidR="008046B3">
              <w:rPr>
                <w:rFonts w:ascii="Source Sans Pro" w:eastAsia="Source Sans Pro" w:hAnsi="Source Sans Pro" w:cs="Times New Roman"/>
              </w:rPr>
              <w:t xml:space="preserve">as </w:t>
            </w:r>
            <w:proofErr w:type="gramStart"/>
            <w:r w:rsidR="008046B3">
              <w:rPr>
                <w:rFonts w:ascii="Source Sans Pro" w:eastAsia="Source Sans Pro" w:hAnsi="Source Sans Pro" w:cs="Times New Roman"/>
              </w:rPr>
              <w:t>a number of</w:t>
            </w:r>
            <w:proofErr w:type="gramEnd"/>
            <w:r w:rsidR="008046B3">
              <w:rPr>
                <w:rFonts w:ascii="Source Sans Pro" w:eastAsia="Source Sans Pro" w:hAnsi="Source Sans Pro" w:cs="Times New Roman"/>
              </w:rPr>
              <w:t xml:space="preserve"> material new capital requirements still require clarification and </w:t>
            </w:r>
            <w:r w:rsidR="00D05009">
              <w:rPr>
                <w:rFonts w:ascii="Source Sans Pro" w:eastAsia="Source Sans Pro" w:hAnsi="Source Sans Pro" w:cs="Times New Roman"/>
              </w:rPr>
              <w:t xml:space="preserve">potential revisions before Credit Unions can complete their assessment of impact. </w:t>
            </w:r>
          </w:p>
          <w:p w14:paraId="26D8ECD7" w14:textId="3A137344" w:rsidR="00727B8A" w:rsidRPr="00727B8A" w:rsidRDefault="00793063" w:rsidP="00727B8A">
            <w:pPr>
              <w:pStyle w:val="ListParagraph"/>
              <w:numPr>
                <w:ilvl w:val="0"/>
                <w:numId w:val="4"/>
              </w:numPr>
              <w:rPr>
                <w:rFonts w:ascii="Source Sans Pro" w:eastAsia="Source Sans Pro" w:hAnsi="Source Sans Pro" w:cs="Times New Roman"/>
              </w:rPr>
            </w:pPr>
            <w:r>
              <w:rPr>
                <w:rFonts w:ascii="Source Sans Pro" w:eastAsia="Source Sans Pro" w:hAnsi="Source Sans Pro" w:cs="Times New Roman"/>
              </w:rPr>
              <w:t>In the event a capital conservation buffer is considered prudent, w</w:t>
            </w:r>
            <w:r w:rsidR="001B7D2C">
              <w:rPr>
                <w:rFonts w:ascii="Source Sans Pro" w:eastAsia="Source Sans Pro" w:hAnsi="Source Sans Pro" w:cs="Times New Roman"/>
              </w:rPr>
              <w:t xml:space="preserve">e recommend a </w:t>
            </w:r>
            <w:r w:rsidR="001E59E4">
              <w:rPr>
                <w:rFonts w:ascii="Source Sans Pro" w:eastAsia="Source Sans Pro" w:hAnsi="Source Sans Pro" w:cs="Times New Roman"/>
              </w:rPr>
              <w:t xml:space="preserve">gradual </w:t>
            </w:r>
            <w:proofErr w:type="gramStart"/>
            <w:r w:rsidR="001E59E4">
              <w:rPr>
                <w:rFonts w:ascii="Source Sans Pro" w:eastAsia="Source Sans Pro" w:hAnsi="Source Sans Pro" w:cs="Times New Roman"/>
              </w:rPr>
              <w:t>step up</w:t>
            </w:r>
            <w:proofErr w:type="gramEnd"/>
            <w:r w:rsidR="001E59E4">
              <w:rPr>
                <w:rFonts w:ascii="Source Sans Pro" w:eastAsia="Source Sans Pro" w:hAnsi="Source Sans Pro" w:cs="Times New Roman"/>
              </w:rPr>
              <w:t xml:space="preserve"> approach to phase in the additional </w:t>
            </w:r>
            <w:r w:rsidR="00C2381A">
              <w:rPr>
                <w:rFonts w:ascii="Source Sans Pro" w:eastAsia="Source Sans Pro" w:hAnsi="Source Sans Pro" w:cs="Times New Roman"/>
              </w:rPr>
              <w:t>2.5% capital requirement</w:t>
            </w:r>
            <w:r w:rsidR="00342662">
              <w:rPr>
                <w:rFonts w:ascii="Source Sans Pro" w:eastAsia="Source Sans Pro" w:hAnsi="Source Sans Pro" w:cs="Times New Roman"/>
              </w:rPr>
              <w:t xml:space="preserve"> over a period of 10 years</w:t>
            </w:r>
            <w:r w:rsidR="002677A3">
              <w:rPr>
                <w:rFonts w:ascii="Source Sans Pro" w:eastAsia="Source Sans Pro" w:hAnsi="Source Sans Pro" w:cs="Times New Roman"/>
              </w:rPr>
              <w:t xml:space="preserve">. </w:t>
            </w:r>
            <w:r w:rsidR="008A47BE">
              <w:rPr>
                <w:rFonts w:ascii="Source Sans Pro" w:eastAsia="Source Sans Pro" w:hAnsi="Source Sans Pro" w:cs="Times New Roman"/>
              </w:rPr>
              <w:t>There is also a long, established practice of provincial and federal regulators providing</w:t>
            </w:r>
            <w:r w:rsidR="00417E6B">
              <w:rPr>
                <w:rFonts w:ascii="Source Sans Pro" w:eastAsia="Source Sans Pro" w:hAnsi="Source Sans Pro" w:cs="Times New Roman"/>
              </w:rPr>
              <w:t xml:space="preserve"> a</w:t>
            </w:r>
            <w:r w:rsidR="00D70D0A">
              <w:rPr>
                <w:rFonts w:ascii="Source Sans Pro" w:eastAsia="Source Sans Pro" w:hAnsi="Source Sans Pro" w:cs="Times New Roman"/>
              </w:rPr>
              <w:t>n even</w:t>
            </w:r>
            <w:r w:rsidR="00417E6B">
              <w:rPr>
                <w:rFonts w:ascii="Source Sans Pro" w:eastAsia="Source Sans Pro" w:hAnsi="Source Sans Pro" w:cs="Times New Roman"/>
              </w:rPr>
              <w:t xml:space="preserve"> long</w:t>
            </w:r>
            <w:r w:rsidR="00D70D0A">
              <w:rPr>
                <w:rFonts w:ascii="Source Sans Pro" w:eastAsia="Source Sans Pro" w:hAnsi="Source Sans Pro" w:cs="Times New Roman"/>
              </w:rPr>
              <w:t>er</w:t>
            </w:r>
            <w:r w:rsidR="00417E6B">
              <w:rPr>
                <w:rFonts w:ascii="Source Sans Pro" w:eastAsia="Source Sans Pro" w:hAnsi="Source Sans Pro" w:cs="Times New Roman"/>
              </w:rPr>
              <w:t xml:space="preserve"> transition period. For example, </w:t>
            </w:r>
            <w:r w:rsidR="00CB300C">
              <w:rPr>
                <w:rFonts w:ascii="Source Sans Pro" w:eastAsia="Source Sans Pro" w:hAnsi="Source Sans Pro" w:cs="Times New Roman"/>
              </w:rPr>
              <w:t>Ministry of Finance</w:t>
            </w:r>
            <w:r w:rsidR="00417E6B">
              <w:rPr>
                <w:rFonts w:ascii="Source Sans Pro" w:eastAsia="Source Sans Pro" w:hAnsi="Source Sans Pro" w:cs="Times New Roman"/>
              </w:rPr>
              <w:t xml:space="preserve"> </w:t>
            </w:r>
            <w:r>
              <w:rPr>
                <w:rFonts w:ascii="Source Sans Pro" w:eastAsia="Source Sans Pro" w:hAnsi="Source Sans Pro" w:cs="Times New Roman"/>
              </w:rPr>
              <w:t xml:space="preserve">previously </w:t>
            </w:r>
            <w:r w:rsidR="00417E6B">
              <w:rPr>
                <w:rFonts w:ascii="Source Sans Pro" w:eastAsia="Source Sans Pro" w:hAnsi="Source Sans Pro" w:cs="Times New Roman"/>
              </w:rPr>
              <w:t xml:space="preserve">proposed a </w:t>
            </w:r>
            <w:proofErr w:type="gramStart"/>
            <w:r w:rsidR="00417E6B">
              <w:rPr>
                <w:rFonts w:ascii="Source Sans Pro" w:eastAsia="Source Sans Pro" w:hAnsi="Source Sans Pro" w:cs="Times New Roman"/>
              </w:rPr>
              <w:t>10 year</w:t>
            </w:r>
            <w:proofErr w:type="gramEnd"/>
            <w:r w:rsidR="00417E6B">
              <w:rPr>
                <w:rFonts w:ascii="Source Sans Pro" w:eastAsia="Source Sans Pro" w:hAnsi="Source Sans Pro" w:cs="Times New Roman"/>
              </w:rPr>
              <w:t xml:space="preserve"> transition period</w:t>
            </w:r>
            <w:r w:rsidR="004C1295">
              <w:rPr>
                <w:rFonts w:ascii="Source Sans Pro" w:eastAsia="Source Sans Pro" w:hAnsi="Source Sans Pro" w:cs="Times New Roman"/>
              </w:rPr>
              <w:t xml:space="preserve">. See </w:t>
            </w:r>
            <w:hyperlink r:id="rId8" w:anchor="toc_9" w:history="1">
              <w:r w:rsidR="004C1295" w:rsidRPr="00E107AD">
                <w:rPr>
                  <w:rStyle w:val="Hyperlink"/>
                  <w:rFonts w:ascii="Source Sans Pro" w:eastAsia="Source Sans Pro" w:hAnsi="Source Sans Pro" w:cs="Times New Roman"/>
                </w:rPr>
                <w:t>link</w:t>
              </w:r>
            </w:hyperlink>
            <w:r w:rsidR="00E107AD">
              <w:rPr>
                <w:rFonts w:ascii="Source Sans Pro" w:eastAsia="Source Sans Pro" w:hAnsi="Source Sans Pro" w:cs="Times New Roman"/>
              </w:rPr>
              <w:t xml:space="preserve">. </w:t>
            </w:r>
          </w:p>
          <w:p w14:paraId="6B02CD31" w14:textId="77777777" w:rsidR="005320BA" w:rsidRDefault="005320BA" w:rsidP="008A06A0">
            <w:pPr>
              <w:rPr>
                <w:rFonts w:ascii="Source Sans Pro" w:eastAsia="Source Sans Pro" w:hAnsi="Source Sans Pro" w:cs="Times New Roman"/>
              </w:rPr>
            </w:pPr>
          </w:p>
          <w:p w14:paraId="6586CFE1" w14:textId="77777777" w:rsidR="005320BA" w:rsidRDefault="005320BA" w:rsidP="008A06A0">
            <w:pPr>
              <w:rPr>
                <w:rFonts w:ascii="Source Sans Pro" w:eastAsia="Source Sans Pro" w:hAnsi="Source Sans Pro" w:cs="Times New Roman"/>
                <w:b/>
                <w:bCs/>
              </w:rPr>
            </w:pPr>
            <w:r w:rsidRPr="008B3281">
              <w:rPr>
                <w:rFonts w:ascii="Source Sans Pro" w:eastAsia="Source Sans Pro" w:hAnsi="Source Sans Pro" w:cs="Times New Roman"/>
                <w:b/>
                <w:bCs/>
              </w:rPr>
              <w:t>Unintended Consequences and Operational Impact</w:t>
            </w:r>
          </w:p>
          <w:p w14:paraId="7FE1C6F9" w14:textId="77777777" w:rsidR="000730D8" w:rsidRDefault="00C506E6" w:rsidP="003D7940">
            <w:pPr>
              <w:pStyle w:val="ListParagraph"/>
              <w:numPr>
                <w:ilvl w:val="0"/>
                <w:numId w:val="5"/>
              </w:numPr>
              <w:rPr>
                <w:rFonts w:ascii="Source Sans Pro" w:eastAsia="Source Sans Pro" w:hAnsi="Source Sans Pro" w:cs="Times New Roman"/>
              </w:rPr>
            </w:pPr>
            <w:r>
              <w:rPr>
                <w:rFonts w:ascii="Source Sans Pro" w:eastAsia="Source Sans Pro" w:hAnsi="Source Sans Pro" w:cs="Times New Roman"/>
              </w:rPr>
              <w:t>Credit Unions</w:t>
            </w:r>
            <w:r w:rsidR="008622FE">
              <w:rPr>
                <w:rFonts w:ascii="Source Sans Pro" w:eastAsia="Source Sans Pro" w:hAnsi="Source Sans Pro" w:cs="Times New Roman"/>
              </w:rPr>
              <w:t xml:space="preserve"> </w:t>
            </w:r>
            <w:r w:rsidR="00C6743F">
              <w:rPr>
                <w:rFonts w:ascii="Source Sans Pro" w:eastAsia="Source Sans Pro" w:hAnsi="Source Sans Pro" w:cs="Times New Roman"/>
              </w:rPr>
              <w:t xml:space="preserve">execute </w:t>
            </w:r>
            <w:r>
              <w:rPr>
                <w:rFonts w:ascii="Source Sans Pro" w:eastAsia="Source Sans Pro" w:hAnsi="Source Sans Pro" w:cs="Times New Roman"/>
              </w:rPr>
              <w:t xml:space="preserve">short-term operations and medium/long term business plans </w:t>
            </w:r>
            <w:r w:rsidR="00687056">
              <w:rPr>
                <w:rFonts w:ascii="Source Sans Pro" w:eastAsia="Source Sans Pro" w:hAnsi="Source Sans Pro" w:cs="Times New Roman"/>
              </w:rPr>
              <w:t xml:space="preserve">based </w:t>
            </w:r>
            <w:r w:rsidR="00DF7C30">
              <w:rPr>
                <w:rFonts w:ascii="Source Sans Pro" w:eastAsia="Source Sans Pro" w:hAnsi="Source Sans Pro" w:cs="Times New Roman"/>
              </w:rPr>
              <w:t xml:space="preserve">on our understanding of </w:t>
            </w:r>
            <w:r>
              <w:rPr>
                <w:rFonts w:ascii="Source Sans Pro" w:eastAsia="Source Sans Pro" w:hAnsi="Source Sans Pro" w:cs="Times New Roman"/>
              </w:rPr>
              <w:t xml:space="preserve">capital adequacy </w:t>
            </w:r>
            <w:r w:rsidR="0070233A">
              <w:rPr>
                <w:rFonts w:ascii="Source Sans Pro" w:eastAsia="Source Sans Pro" w:hAnsi="Source Sans Pro" w:cs="Times New Roman"/>
              </w:rPr>
              <w:t xml:space="preserve">requirements. </w:t>
            </w:r>
            <w:r w:rsidR="001A3D08">
              <w:rPr>
                <w:rFonts w:ascii="Source Sans Pro" w:eastAsia="Source Sans Pro" w:hAnsi="Source Sans Pro" w:cs="Times New Roman"/>
              </w:rPr>
              <w:t xml:space="preserve">Material changes to capital adequacy requirements take </w:t>
            </w:r>
            <w:r w:rsidR="001D6394">
              <w:rPr>
                <w:rFonts w:ascii="Source Sans Pro" w:eastAsia="Source Sans Pro" w:hAnsi="Source Sans Pro" w:cs="Times New Roman"/>
              </w:rPr>
              <w:t xml:space="preserve">significant lead time to assess impact, make changes </w:t>
            </w:r>
            <w:r w:rsidR="00BF2DBE">
              <w:rPr>
                <w:rFonts w:ascii="Source Sans Pro" w:eastAsia="Source Sans Pro" w:hAnsi="Source Sans Pro" w:cs="Times New Roman"/>
              </w:rPr>
              <w:t xml:space="preserve">and execute. </w:t>
            </w:r>
          </w:p>
          <w:p w14:paraId="139B2F4D" w14:textId="224DA363" w:rsidR="000730D8" w:rsidRDefault="0013511C" w:rsidP="003D7940">
            <w:pPr>
              <w:pStyle w:val="ListParagraph"/>
              <w:numPr>
                <w:ilvl w:val="0"/>
                <w:numId w:val="5"/>
              </w:numPr>
              <w:rPr>
                <w:rFonts w:ascii="Source Sans Pro" w:eastAsia="Source Sans Pro" w:hAnsi="Source Sans Pro" w:cs="Times New Roman"/>
              </w:rPr>
            </w:pPr>
            <w:r>
              <w:rPr>
                <w:rFonts w:ascii="Source Sans Pro" w:eastAsia="Source Sans Pro" w:hAnsi="Source Sans Pro" w:cs="Times New Roman"/>
              </w:rPr>
              <w:t xml:space="preserve">Management </w:t>
            </w:r>
            <w:r w:rsidR="00862810">
              <w:rPr>
                <w:rFonts w:ascii="Source Sans Pro" w:eastAsia="Source Sans Pro" w:hAnsi="Source Sans Pro" w:cs="Times New Roman"/>
              </w:rPr>
              <w:t xml:space="preserve">requires </w:t>
            </w:r>
            <w:r>
              <w:rPr>
                <w:rFonts w:ascii="Source Sans Pro" w:eastAsia="Source Sans Pro" w:hAnsi="Source Sans Pro" w:cs="Times New Roman"/>
              </w:rPr>
              <w:t xml:space="preserve">time to review whether a </w:t>
            </w:r>
            <w:r w:rsidR="00FC7F8F">
              <w:rPr>
                <w:rFonts w:ascii="Source Sans Pro" w:eastAsia="Source Sans Pro" w:hAnsi="Source Sans Pro" w:cs="Times New Roman"/>
              </w:rPr>
              <w:t xml:space="preserve">higher minimum total supervisory capital </w:t>
            </w:r>
            <w:r>
              <w:rPr>
                <w:rFonts w:ascii="Source Sans Pro" w:eastAsia="Source Sans Pro" w:hAnsi="Source Sans Pro" w:cs="Times New Roman"/>
              </w:rPr>
              <w:t>necessitates a</w:t>
            </w:r>
            <w:r w:rsidR="00FC7F8F">
              <w:rPr>
                <w:rFonts w:ascii="Source Sans Pro" w:eastAsia="Source Sans Pro" w:hAnsi="Source Sans Pro" w:cs="Times New Roman"/>
              </w:rPr>
              <w:t xml:space="preserve"> higher internal management</w:t>
            </w:r>
            <w:r w:rsidR="008353CB">
              <w:rPr>
                <w:rFonts w:ascii="Source Sans Pro" w:eastAsia="Source Sans Pro" w:hAnsi="Source Sans Pro" w:cs="Times New Roman"/>
              </w:rPr>
              <w:t xml:space="preserve"> limit </w:t>
            </w:r>
            <w:r w:rsidR="001E6333">
              <w:rPr>
                <w:rFonts w:ascii="Source Sans Pro" w:eastAsia="Source Sans Pro" w:hAnsi="Source Sans Pro" w:cs="Times New Roman"/>
              </w:rPr>
              <w:t xml:space="preserve">in conjunction with </w:t>
            </w:r>
            <w:r w:rsidR="003D560B">
              <w:rPr>
                <w:rFonts w:ascii="Source Sans Pro" w:eastAsia="Source Sans Pro" w:hAnsi="Source Sans Pro" w:cs="Times New Roman"/>
              </w:rPr>
              <w:t>ICAAP</w:t>
            </w:r>
            <w:r w:rsidR="00862810">
              <w:rPr>
                <w:rFonts w:ascii="Source Sans Pro" w:eastAsia="Source Sans Pro" w:hAnsi="Source Sans Pro" w:cs="Times New Roman"/>
              </w:rPr>
              <w:t>.</w:t>
            </w:r>
          </w:p>
          <w:p w14:paraId="437265BA" w14:textId="77777777" w:rsidR="00930DA0" w:rsidRDefault="00B94EBA" w:rsidP="003D7940">
            <w:pPr>
              <w:pStyle w:val="ListParagraph"/>
              <w:numPr>
                <w:ilvl w:val="0"/>
                <w:numId w:val="5"/>
              </w:numPr>
              <w:rPr>
                <w:rFonts w:ascii="Source Sans Pro" w:eastAsia="Source Sans Pro" w:hAnsi="Source Sans Pro" w:cs="Times New Roman"/>
              </w:rPr>
            </w:pPr>
            <w:r>
              <w:rPr>
                <w:rFonts w:ascii="Source Sans Pro" w:eastAsia="Source Sans Pro" w:hAnsi="Source Sans Pro" w:cs="Times New Roman"/>
              </w:rPr>
              <w:t xml:space="preserve">Significant lead time is required to assess, </w:t>
            </w:r>
            <w:r w:rsidR="00B11060">
              <w:rPr>
                <w:rFonts w:ascii="Source Sans Pro" w:eastAsia="Source Sans Pro" w:hAnsi="Source Sans Pro" w:cs="Times New Roman"/>
              </w:rPr>
              <w:t xml:space="preserve">communicate </w:t>
            </w:r>
            <w:r w:rsidR="00A54381">
              <w:rPr>
                <w:rFonts w:ascii="Source Sans Pro" w:eastAsia="Source Sans Pro" w:hAnsi="Source Sans Pro" w:cs="Times New Roman"/>
              </w:rPr>
              <w:t xml:space="preserve">with relevant </w:t>
            </w:r>
            <w:proofErr w:type="gramStart"/>
            <w:r w:rsidR="00A54381">
              <w:rPr>
                <w:rFonts w:ascii="Source Sans Pro" w:eastAsia="Source Sans Pro" w:hAnsi="Source Sans Pro" w:cs="Times New Roman"/>
              </w:rPr>
              <w:t>stakeholders</w:t>
            </w:r>
            <w:proofErr w:type="gramEnd"/>
            <w:r w:rsidR="00A54381">
              <w:rPr>
                <w:rFonts w:ascii="Source Sans Pro" w:eastAsia="Source Sans Pro" w:hAnsi="Source Sans Pro" w:cs="Times New Roman"/>
              </w:rPr>
              <w:t xml:space="preserve"> </w:t>
            </w:r>
            <w:r>
              <w:rPr>
                <w:rFonts w:ascii="Source Sans Pro" w:eastAsia="Source Sans Pro" w:hAnsi="Source Sans Pro" w:cs="Times New Roman"/>
              </w:rPr>
              <w:t>and execute</w:t>
            </w:r>
            <w:r w:rsidR="00930DA0">
              <w:rPr>
                <w:rFonts w:ascii="Source Sans Pro" w:eastAsia="Source Sans Pro" w:hAnsi="Source Sans Pro" w:cs="Times New Roman"/>
              </w:rPr>
              <w:t>:</w:t>
            </w:r>
          </w:p>
          <w:p w14:paraId="16B578B9" w14:textId="77777777" w:rsidR="00B11060" w:rsidRDefault="007572D6" w:rsidP="00930DA0">
            <w:pPr>
              <w:pStyle w:val="ListParagraph"/>
              <w:numPr>
                <w:ilvl w:val="1"/>
                <w:numId w:val="5"/>
              </w:numPr>
              <w:rPr>
                <w:rFonts w:ascii="Source Sans Pro" w:eastAsia="Source Sans Pro" w:hAnsi="Source Sans Pro" w:cs="Times New Roman"/>
              </w:rPr>
            </w:pPr>
            <w:r>
              <w:rPr>
                <w:rFonts w:ascii="Source Sans Pro" w:eastAsia="Source Sans Pro" w:hAnsi="Source Sans Pro" w:cs="Times New Roman"/>
              </w:rPr>
              <w:t>c</w:t>
            </w:r>
            <w:r w:rsidR="006334CE">
              <w:rPr>
                <w:rFonts w:ascii="Source Sans Pro" w:eastAsia="Source Sans Pro" w:hAnsi="Source Sans Pro" w:cs="Times New Roman"/>
              </w:rPr>
              <w:t xml:space="preserve">hanges </w:t>
            </w:r>
            <w:r w:rsidR="00C94F63">
              <w:rPr>
                <w:rFonts w:ascii="Source Sans Pro" w:eastAsia="Source Sans Pro" w:hAnsi="Source Sans Pro" w:cs="Times New Roman"/>
              </w:rPr>
              <w:t>to</w:t>
            </w:r>
            <w:r w:rsidR="006334CE">
              <w:rPr>
                <w:rFonts w:ascii="Source Sans Pro" w:eastAsia="Source Sans Pro" w:hAnsi="Source Sans Pro" w:cs="Times New Roman"/>
              </w:rPr>
              <w:t xml:space="preserve"> </w:t>
            </w:r>
            <w:r w:rsidR="00BF2DBE">
              <w:rPr>
                <w:rFonts w:ascii="Source Sans Pro" w:eastAsia="Source Sans Pro" w:hAnsi="Source Sans Pro" w:cs="Times New Roman"/>
              </w:rPr>
              <w:t>product offerings</w:t>
            </w:r>
            <w:r w:rsidR="00133371">
              <w:rPr>
                <w:rFonts w:ascii="Source Sans Pro" w:eastAsia="Source Sans Pro" w:hAnsi="Source Sans Pro" w:cs="Times New Roman"/>
              </w:rPr>
              <w:t xml:space="preserve"> and </w:t>
            </w:r>
            <w:proofErr w:type="gramStart"/>
            <w:r w:rsidR="00BF2DBE">
              <w:rPr>
                <w:rFonts w:ascii="Source Sans Pro" w:eastAsia="Source Sans Pro" w:hAnsi="Source Sans Pro" w:cs="Times New Roman"/>
              </w:rPr>
              <w:t>pricing</w:t>
            </w:r>
            <w:r>
              <w:rPr>
                <w:rFonts w:ascii="Source Sans Pro" w:eastAsia="Source Sans Pro" w:hAnsi="Source Sans Pro" w:cs="Times New Roman"/>
              </w:rPr>
              <w:t>;</w:t>
            </w:r>
            <w:proofErr w:type="gramEnd"/>
          </w:p>
          <w:p w14:paraId="4AE5171D" w14:textId="4F376490" w:rsidR="007572D6" w:rsidRDefault="007572D6" w:rsidP="00930DA0">
            <w:pPr>
              <w:pStyle w:val="ListParagraph"/>
              <w:numPr>
                <w:ilvl w:val="1"/>
                <w:numId w:val="5"/>
              </w:numPr>
              <w:rPr>
                <w:rFonts w:ascii="Source Sans Pro" w:eastAsia="Source Sans Pro" w:hAnsi="Source Sans Pro" w:cs="Times New Roman"/>
              </w:rPr>
            </w:pPr>
            <w:r>
              <w:rPr>
                <w:rFonts w:ascii="Source Sans Pro" w:eastAsia="Source Sans Pro" w:hAnsi="Source Sans Pro" w:cs="Times New Roman"/>
              </w:rPr>
              <w:t>c</w:t>
            </w:r>
            <w:r w:rsidR="002D56C1">
              <w:rPr>
                <w:rFonts w:ascii="Source Sans Pro" w:eastAsia="Source Sans Pro" w:hAnsi="Source Sans Pro" w:cs="Times New Roman"/>
              </w:rPr>
              <w:t xml:space="preserve">hanges </w:t>
            </w:r>
            <w:r w:rsidR="00B11060">
              <w:rPr>
                <w:rFonts w:ascii="Source Sans Pro" w:eastAsia="Source Sans Pro" w:hAnsi="Source Sans Pro" w:cs="Times New Roman"/>
              </w:rPr>
              <w:t xml:space="preserve">to existing and future </w:t>
            </w:r>
            <w:r w:rsidR="00BF2DBE">
              <w:rPr>
                <w:rFonts w:ascii="Source Sans Pro" w:eastAsia="Source Sans Pro" w:hAnsi="Source Sans Pro" w:cs="Times New Roman"/>
              </w:rPr>
              <w:t>strategic investments</w:t>
            </w:r>
            <w:r w:rsidR="00F568DE">
              <w:rPr>
                <w:rFonts w:ascii="Source Sans Pro" w:eastAsia="Source Sans Pro" w:hAnsi="Source Sans Pro" w:cs="Times New Roman"/>
              </w:rPr>
              <w:t xml:space="preserve"> including investments in Fin</w:t>
            </w:r>
            <w:r w:rsidR="003F0118">
              <w:rPr>
                <w:rFonts w:ascii="Source Sans Pro" w:eastAsia="Source Sans Pro" w:hAnsi="Source Sans Pro" w:cs="Times New Roman"/>
              </w:rPr>
              <w:t>T</w:t>
            </w:r>
            <w:r w:rsidR="00F568DE">
              <w:rPr>
                <w:rFonts w:ascii="Source Sans Pro" w:eastAsia="Source Sans Pro" w:hAnsi="Source Sans Pro" w:cs="Times New Roman"/>
              </w:rPr>
              <w:t xml:space="preserve">echs and </w:t>
            </w:r>
            <w:r w:rsidR="0099576B">
              <w:rPr>
                <w:rFonts w:ascii="Source Sans Pro" w:eastAsia="Source Sans Pro" w:hAnsi="Source Sans Pro" w:cs="Times New Roman"/>
              </w:rPr>
              <w:t>local communities</w:t>
            </w:r>
            <w:r>
              <w:rPr>
                <w:rFonts w:ascii="Source Sans Pro" w:eastAsia="Source Sans Pro" w:hAnsi="Source Sans Pro" w:cs="Times New Roman"/>
              </w:rPr>
              <w:t>; and</w:t>
            </w:r>
          </w:p>
          <w:p w14:paraId="51B49F6E" w14:textId="77777777" w:rsidR="008B3281" w:rsidRDefault="007572D6" w:rsidP="00930DA0">
            <w:pPr>
              <w:pStyle w:val="ListParagraph"/>
              <w:numPr>
                <w:ilvl w:val="1"/>
                <w:numId w:val="5"/>
              </w:numPr>
              <w:rPr>
                <w:rFonts w:ascii="Source Sans Pro" w:eastAsia="Source Sans Pro" w:hAnsi="Source Sans Pro" w:cs="Times New Roman"/>
              </w:rPr>
            </w:pPr>
            <w:r>
              <w:rPr>
                <w:rFonts w:ascii="Source Sans Pro" w:eastAsia="Source Sans Pro" w:hAnsi="Source Sans Pro" w:cs="Times New Roman"/>
              </w:rPr>
              <w:t>changes to</w:t>
            </w:r>
            <w:r w:rsidR="003236AB">
              <w:rPr>
                <w:rFonts w:ascii="Source Sans Pro" w:eastAsia="Source Sans Pro" w:hAnsi="Source Sans Pro" w:cs="Times New Roman"/>
              </w:rPr>
              <w:t xml:space="preserve"> capital plans </w:t>
            </w:r>
            <w:r w:rsidR="00ED0CD0">
              <w:rPr>
                <w:rFonts w:ascii="Source Sans Pro" w:eastAsia="Source Sans Pro" w:hAnsi="Source Sans Pro" w:cs="Times New Roman"/>
              </w:rPr>
              <w:t xml:space="preserve">including altering the timing, terms and amount of </w:t>
            </w:r>
            <w:r w:rsidR="00862810">
              <w:rPr>
                <w:rFonts w:ascii="Source Sans Pro" w:eastAsia="Source Sans Pro" w:hAnsi="Source Sans Pro" w:cs="Times New Roman"/>
              </w:rPr>
              <w:t xml:space="preserve">planned earnings and </w:t>
            </w:r>
            <w:r w:rsidR="00ED0CD0">
              <w:rPr>
                <w:rFonts w:ascii="Source Sans Pro" w:eastAsia="Source Sans Pro" w:hAnsi="Source Sans Pro" w:cs="Times New Roman"/>
              </w:rPr>
              <w:t xml:space="preserve">capital </w:t>
            </w:r>
            <w:r w:rsidR="00862810">
              <w:rPr>
                <w:rFonts w:ascii="Source Sans Pro" w:eastAsia="Source Sans Pro" w:hAnsi="Source Sans Pro" w:cs="Times New Roman"/>
              </w:rPr>
              <w:t xml:space="preserve">share </w:t>
            </w:r>
            <w:r w:rsidR="00ED0CD0">
              <w:rPr>
                <w:rFonts w:ascii="Source Sans Pro" w:eastAsia="Source Sans Pro" w:hAnsi="Source Sans Pro" w:cs="Times New Roman"/>
              </w:rPr>
              <w:t>raises</w:t>
            </w:r>
            <w:r w:rsidR="00841BB7">
              <w:rPr>
                <w:rFonts w:ascii="Source Sans Pro" w:eastAsia="Source Sans Pro" w:hAnsi="Source Sans Pro" w:cs="Times New Roman"/>
              </w:rPr>
              <w:t xml:space="preserve">. </w:t>
            </w:r>
          </w:p>
          <w:p w14:paraId="19552E62" w14:textId="1781D858" w:rsidR="00841BB7" w:rsidRPr="003D7940" w:rsidRDefault="008B2B12" w:rsidP="003D7940">
            <w:pPr>
              <w:pStyle w:val="ListParagraph"/>
              <w:numPr>
                <w:ilvl w:val="0"/>
                <w:numId w:val="5"/>
              </w:numPr>
              <w:rPr>
                <w:rFonts w:ascii="Source Sans Pro" w:eastAsia="Source Sans Pro" w:hAnsi="Source Sans Pro" w:cs="Times New Roman"/>
              </w:rPr>
            </w:pPr>
            <w:r>
              <w:rPr>
                <w:rFonts w:ascii="Source Sans Pro" w:eastAsia="Source Sans Pro" w:hAnsi="Source Sans Pro" w:cs="Times New Roman"/>
              </w:rPr>
              <w:t>An inadequate</w:t>
            </w:r>
            <w:r w:rsidR="00841BB7">
              <w:rPr>
                <w:rFonts w:ascii="Source Sans Pro" w:eastAsia="Source Sans Pro" w:hAnsi="Source Sans Pro" w:cs="Times New Roman"/>
              </w:rPr>
              <w:t xml:space="preserve"> transition period </w:t>
            </w:r>
            <w:r w:rsidR="003F0D3C">
              <w:rPr>
                <w:rFonts w:ascii="Source Sans Pro" w:eastAsia="Source Sans Pro" w:hAnsi="Source Sans Pro" w:cs="Times New Roman"/>
              </w:rPr>
              <w:t>will lead</w:t>
            </w:r>
            <w:r w:rsidR="00841BB7">
              <w:rPr>
                <w:rFonts w:ascii="Source Sans Pro" w:eastAsia="Source Sans Pro" w:hAnsi="Source Sans Pro" w:cs="Times New Roman"/>
              </w:rPr>
              <w:t xml:space="preserve"> </w:t>
            </w:r>
            <w:r w:rsidR="002D6452">
              <w:rPr>
                <w:rFonts w:ascii="Source Sans Pro" w:eastAsia="Source Sans Pro" w:hAnsi="Source Sans Pro" w:cs="Times New Roman"/>
              </w:rPr>
              <w:t xml:space="preserve">Credit Unions </w:t>
            </w:r>
            <w:r w:rsidR="003F0D3C">
              <w:rPr>
                <w:rFonts w:ascii="Source Sans Pro" w:eastAsia="Source Sans Pro" w:hAnsi="Source Sans Pro" w:cs="Times New Roman"/>
              </w:rPr>
              <w:t xml:space="preserve">to suboptimal </w:t>
            </w:r>
            <w:r w:rsidR="00F93CA4">
              <w:rPr>
                <w:rFonts w:ascii="Source Sans Pro" w:eastAsia="Source Sans Pro" w:hAnsi="Source Sans Pro" w:cs="Times New Roman"/>
              </w:rPr>
              <w:t xml:space="preserve">business </w:t>
            </w:r>
            <w:r w:rsidR="003F0D3C">
              <w:rPr>
                <w:rFonts w:ascii="Source Sans Pro" w:eastAsia="Source Sans Pro" w:hAnsi="Source Sans Pro" w:cs="Times New Roman"/>
              </w:rPr>
              <w:t>decision</w:t>
            </w:r>
            <w:r w:rsidR="00326C06">
              <w:rPr>
                <w:rFonts w:ascii="Source Sans Pro" w:eastAsia="Source Sans Pro" w:hAnsi="Source Sans Pro" w:cs="Times New Roman"/>
              </w:rPr>
              <w:t xml:space="preserve">s </w:t>
            </w:r>
            <w:r w:rsidR="003F0D3C">
              <w:rPr>
                <w:rFonts w:ascii="Source Sans Pro" w:eastAsia="Source Sans Pro" w:hAnsi="Source Sans Pro" w:cs="Times New Roman"/>
              </w:rPr>
              <w:t xml:space="preserve">and ultimately jeopardize </w:t>
            </w:r>
            <w:r w:rsidR="00326C06">
              <w:rPr>
                <w:rFonts w:ascii="Source Sans Pro" w:eastAsia="Source Sans Pro" w:hAnsi="Source Sans Pro" w:cs="Times New Roman"/>
              </w:rPr>
              <w:t xml:space="preserve">the success </w:t>
            </w:r>
            <w:r w:rsidR="002E5A05">
              <w:rPr>
                <w:rFonts w:ascii="Source Sans Pro" w:eastAsia="Source Sans Pro" w:hAnsi="Source Sans Pro" w:cs="Times New Roman"/>
              </w:rPr>
              <w:t xml:space="preserve">of the entire sector </w:t>
            </w:r>
            <w:r w:rsidR="00542BB4">
              <w:rPr>
                <w:rFonts w:ascii="Source Sans Pro" w:eastAsia="Source Sans Pro" w:hAnsi="Source Sans Pro" w:cs="Times New Roman"/>
              </w:rPr>
              <w:t>including the member base we serve</w:t>
            </w:r>
            <w:r w:rsidR="002E5A05">
              <w:rPr>
                <w:rFonts w:ascii="Source Sans Pro" w:eastAsia="Source Sans Pro" w:hAnsi="Source Sans Pro" w:cs="Times New Roman"/>
              </w:rPr>
              <w:t>.</w:t>
            </w:r>
          </w:p>
        </w:tc>
      </w:tr>
    </w:tbl>
    <w:p w14:paraId="1E1E7F58" w14:textId="77777777" w:rsidR="008A06A0" w:rsidRDefault="008A06A0" w:rsidP="008A06A0">
      <w:pPr>
        <w:spacing w:after="0" w:line="240" w:lineRule="auto"/>
        <w:rPr>
          <w:rFonts w:ascii="Source Sans Pro" w:eastAsia="Source Sans Pro" w:hAnsi="Source Sans Pro" w:cs="Times New Roman"/>
        </w:rPr>
      </w:pPr>
    </w:p>
    <w:p w14:paraId="0794569C" w14:textId="77777777" w:rsidR="00697767" w:rsidRDefault="00697767" w:rsidP="008A06A0">
      <w:pPr>
        <w:spacing w:after="0" w:line="240" w:lineRule="auto"/>
        <w:rPr>
          <w:rFonts w:ascii="Source Sans Pro" w:eastAsia="Source Sans Pro" w:hAnsi="Source Sans Pro" w:cs="Times New Roman"/>
          <w:b/>
          <w:bCs/>
          <w:color w:val="7030A0"/>
          <w:sz w:val="24"/>
          <w:szCs w:val="24"/>
        </w:rPr>
      </w:pPr>
    </w:p>
    <w:p w14:paraId="7297136C" w14:textId="77777777" w:rsidR="00697767" w:rsidRDefault="00697767" w:rsidP="008A06A0">
      <w:pPr>
        <w:spacing w:after="0" w:line="240" w:lineRule="auto"/>
        <w:rPr>
          <w:rFonts w:ascii="Source Sans Pro" w:eastAsia="Source Sans Pro" w:hAnsi="Source Sans Pro" w:cs="Times New Roman"/>
          <w:b/>
          <w:bCs/>
          <w:color w:val="7030A0"/>
          <w:sz w:val="24"/>
          <w:szCs w:val="24"/>
        </w:rPr>
      </w:pPr>
    </w:p>
    <w:p w14:paraId="77EF1D16" w14:textId="77777777" w:rsidR="00697767" w:rsidRDefault="00697767" w:rsidP="008A06A0">
      <w:pPr>
        <w:spacing w:after="0" w:line="240" w:lineRule="auto"/>
        <w:rPr>
          <w:rFonts w:ascii="Source Sans Pro" w:eastAsia="Source Sans Pro" w:hAnsi="Source Sans Pro" w:cs="Times New Roman"/>
          <w:b/>
          <w:bCs/>
          <w:color w:val="7030A0"/>
          <w:sz w:val="24"/>
          <w:szCs w:val="24"/>
        </w:rPr>
      </w:pPr>
    </w:p>
    <w:p w14:paraId="31A54E88" w14:textId="77777777" w:rsidR="00697767" w:rsidRDefault="00697767" w:rsidP="008A06A0">
      <w:pPr>
        <w:spacing w:after="0" w:line="240" w:lineRule="auto"/>
        <w:rPr>
          <w:rFonts w:ascii="Source Sans Pro" w:eastAsia="Source Sans Pro" w:hAnsi="Source Sans Pro" w:cs="Times New Roman"/>
          <w:b/>
          <w:bCs/>
          <w:color w:val="7030A0"/>
          <w:sz w:val="24"/>
          <w:szCs w:val="24"/>
        </w:rPr>
      </w:pPr>
    </w:p>
    <w:p w14:paraId="18543D37" w14:textId="77777777" w:rsidR="00697767" w:rsidRDefault="00697767" w:rsidP="008A06A0">
      <w:pPr>
        <w:spacing w:after="0" w:line="240" w:lineRule="auto"/>
        <w:rPr>
          <w:rFonts w:ascii="Source Sans Pro" w:eastAsia="Source Sans Pro" w:hAnsi="Source Sans Pro" w:cs="Times New Roman"/>
          <w:b/>
          <w:bCs/>
          <w:color w:val="7030A0"/>
          <w:sz w:val="24"/>
          <w:szCs w:val="24"/>
        </w:rPr>
      </w:pPr>
    </w:p>
    <w:p w14:paraId="5B25B241" w14:textId="77777777" w:rsidR="00697767" w:rsidRDefault="00697767" w:rsidP="008A06A0">
      <w:pPr>
        <w:spacing w:after="0" w:line="240" w:lineRule="auto"/>
        <w:rPr>
          <w:rFonts w:ascii="Source Sans Pro" w:eastAsia="Source Sans Pro" w:hAnsi="Source Sans Pro" w:cs="Times New Roman"/>
          <w:b/>
          <w:bCs/>
          <w:color w:val="7030A0"/>
          <w:sz w:val="24"/>
          <w:szCs w:val="24"/>
        </w:rPr>
      </w:pPr>
    </w:p>
    <w:p w14:paraId="7FF94E39" w14:textId="77777777" w:rsidR="00697767" w:rsidRDefault="00697767" w:rsidP="008A06A0">
      <w:pPr>
        <w:spacing w:after="0" w:line="240" w:lineRule="auto"/>
        <w:rPr>
          <w:rFonts w:ascii="Source Sans Pro" w:eastAsia="Source Sans Pro" w:hAnsi="Source Sans Pro" w:cs="Times New Roman"/>
          <w:b/>
          <w:bCs/>
          <w:color w:val="7030A0"/>
          <w:sz w:val="24"/>
          <w:szCs w:val="24"/>
        </w:rPr>
      </w:pPr>
    </w:p>
    <w:p w14:paraId="485DBB2A" w14:textId="77777777" w:rsidR="003F0118" w:rsidRDefault="003F0118" w:rsidP="008A06A0">
      <w:pPr>
        <w:spacing w:after="0" w:line="240" w:lineRule="auto"/>
        <w:rPr>
          <w:rFonts w:ascii="Source Sans Pro" w:eastAsia="Source Sans Pro" w:hAnsi="Source Sans Pro" w:cs="Times New Roman"/>
          <w:b/>
          <w:bCs/>
          <w:color w:val="7030A0"/>
          <w:sz w:val="24"/>
          <w:szCs w:val="24"/>
        </w:rPr>
      </w:pPr>
    </w:p>
    <w:p w14:paraId="13081A14" w14:textId="1B19D06E" w:rsidR="0037446E" w:rsidRDefault="00902873" w:rsidP="008A06A0">
      <w:pPr>
        <w:spacing w:after="0" w:line="240" w:lineRule="auto"/>
        <w:rPr>
          <w:rFonts w:ascii="Source Sans Pro" w:eastAsia="Source Sans Pro" w:hAnsi="Source Sans Pro" w:cs="Times New Roman"/>
          <w:b/>
          <w:bCs/>
          <w:color w:val="7030A0"/>
          <w:sz w:val="24"/>
          <w:szCs w:val="24"/>
        </w:rPr>
      </w:pPr>
      <w:r>
        <w:rPr>
          <w:rFonts w:ascii="Source Sans Pro" w:eastAsia="Source Sans Pro" w:hAnsi="Source Sans Pro" w:cs="Times New Roman"/>
          <w:b/>
          <w:bCs/>
          <w:color w:val="7030A0"/>
          <w:sz w:val="24"/>
          <w:szCs w:val="24"/>
        </w:rPr>
        <w:lastRenderedPageBreak/>
        <w:t>Section 7</w:t>
      </w:r>
      <w:r w:rsidR="0037446E">
        <w:rPr>
          <w:rFonts w:ascii="Source Sans Pro" w:eastAsia="Source Sans Pro" w:hAnsi="Source Sans Pro" w:cs="Times New Roman"/>
          <w:b/>
          <w:bCs/>
          <w:color w:val="7030A0"/>
          <w:sz w:val="24"/>
          <w:szCs w:val="24"/>
        </w:rPr>
        <w:t xml:space="preserve"> Credit Risk – Standardized Approach </w:t>
      </w:r>
    </w:p>
    <w:p w14:paraId="38DD3334" w14:textId="77777777" w:rsidR="004F6E7B" w:rsidRPr="00CF75D8" w:rsidRDefault="00241A97" w:rsidP="008A06A0">
      <w:pPr>
        <w:spacing w:after="0" w:line="240" w:lineRule="auto"/>
        <w:rPr>
          <w:rFonts w:ascii="Source Sans Pro" w:eastAsia="Source Sans Pro" w:hAnsi="Source Sans Pro" w:cs="Times New Roman"/>
          <w:b/>
          <w:bCs/>
          <w:color w:val="7030A0"/>
          <w:sz w:val="28"/>
          <w:szCs w:val="28"/>
        </w:rPr>
      </w:pPr>
      <w:r>
        <w:rPr>
          <w:rFonts w:ascii="Source Sans Pro" w:eastAsia="Source Sans Pro" w:hAnsi="Source Sans Pro" w:cs="Times New Roman"/>
          <w:b/>
          <w:bCs/>
          <w:color w:val="7030A0"/>
          <w:sz w:val="24"/>
          <w:szCs w:val="24"/>
        </w:rPr>
        <w:t>Table 2: Asset Risk Weightings</w:t>
      </w:r>
    </w:p>
    <w:p w14:paraId="190225BD" w14:textId="77777777" w:rsidR="004F6E7B" w:rsidRDefault="004F6E7B" w:rsidP="008A06A0">
      <w:pPr>
        <w:spacing w:after="0" w:line="240" w:lineRule="auto"/>
        <w:rPr>
          <w:rFonts w:ascii="Source Sans Pro" w:eastAsia="Source Sans Pro" w:hAnsi="Source Sans Pro" w:cs="Times New Roman"/>
        </w:rPr>
      </w:pPr>
    </w:p>
    <w:tbl>
      <w:tblPr>
        <w:tblStyle w:val="TableGrid"/>
        <w:tblW w:w="11766" w:type="dxa"/>
        <w:tblInd w:w="-1139" w:type="dxa"/>
        <w:tblLook w:val="04A0" w:firstRow="1" w:lastRow="0" w:firstColumn="1" w:lastColumn="0" w:noHBand="0" w:noVBand="1"/>
      </w:tblPr>
      <w:tblGrid>
        <w:gridCol w:w="1418"/>
        <w:gridCol w:w="10348"/>
      </w:tblGrid>
      <w:tr w:rsidR="004F6E7B" w14:paraId="4CAA1E08" w14:textId="77777777" w:rsidTr="00D336AA">
        <w:tc>
          <w:tcPr>
            <w:tcW w:w="1418" w:type="dxa"/>
          </w:tcPr>
          <w:p w14:paraId="026E80F5" w14:textId="77777777" w:rsidR="004F6E7B" w:rsidRPr="007226E6" w:rsidRDefault="004F6E7B" w:rsidP="004F6E7B">
            <w:pPr>
              <w:rPr>
                <w:rFonts w:ascii="Source Sans Pro" w:eastAsia="Source Sans Pro" w:hAnsi="Source Sans Pro" w:cs="Times New Roman"/>
                <w:b/>
                <w:bCs/>
              </w:rPr>
            </w:pPr>
            <w:r w:rsidRPr="007226E6">
              <w:rPr>
                <w:rFonts w:ascii="Source Sans Pro" w:eastAsia="Source Sans Pro" w:hAnsi="Source Sans Pro" w:cs="Times New Roman"/>
                <w:b/>
                <w:bCs/>
              </w:rPr>
              <w:t>Section</w:t>
            </w:r>
          </w:p>
        </w:tc>
        <w:tc>
          <w:tcPr>
            <w:tcW w:w="10348" w:type="dxa"/>
          </w:tcPr>
          <w:p w14:paraId="6455DA71" w14:textId="77777777" w:rsidR="004F6E7B" w:rsidRPr="007226E6" w:rsidRDefault="004F6E7B" w:rsidP="004F6E7B">
            <w:pPr>
              <w:rPr>
                <w:rFonts w:ascii="Source Sans Pro" w:eastAsia="Source Sans Pro" w:hAnsi="Source Sans Pro" w:cs="Times New Roman"/>
                <w:b/>
                <w:bCs/>
              </w:rPr>
            </w:pPr>
            <w:r w:rsidRPr="007226E6">
              <w:rPr>
                <w:rFonts w:ascii="Source Sans Pro" w:eastAsia="Source Sans Pro" w:hAnsi="Source Sans Pro" w:cs="Times New Roman"/>
                <w:b/>
                <w:bCs/>
              </w:rPr>
              <w:t>Comments / Unintended Consequences / Impact</w:t>
            </w:r>
          </w:p>
        </w:tc>
      </w:tr>
      <w:tr w:rsidR="004F6E7B" w14:paraId="4806591A" w14:textId="77777777" w:rsidTr="00D336AA">
        <w:tc>
          <w:tcPr>
            <w:tcW w:w="1418" w:type="dxa"/>
          </w:tcPr>
          <w:p w14:paraId="354F08DA" w14:textId="77777777" w:rsidR="004F6E7B" w:rsidRDefault="000E2F11" w:rsidP="004F6E7B">
            <w:pPr>
              <w:rPr>
                <w:rFonts w:ascii="Source Sans Pro" w:eastAsia="Source Sans Pro" w:hAnsi="Source Sans Pro" w:cs="Times New Roman"/>
              </w:rPr>
            </w:pPr>
            <w:r>
              <w:rPr>
                <w:rFonts w:ascii="Source Sans Pro" w:eastAsia="Source Sans Pro" w:hAnsi="Source Sans Pro" w:cs="Times New Roman"/>
              </w:rPr>
              <w:t xml:space="preserve">Table </w:t>
            </w:r>
            <w:r w:rsidR="004F6E7B">
              <w:rPr>
                <w:rFonts w:ascii="Source Sans Pro" w:eastAsia="Source Sans Pro" w:hAnsi="Source Sans Pro" w:cs="Times New Roman"/>
              </w:rPr>
              <w:t>2(</w:t>
            </w:r>
            <w:proofErr w:type="spellStart"/>
            <w:r w:rsidR="002E039E">
              <w:rPr>
                <w:rFonts w:ascii="Source Sans Pro" w:eastAsia="Source Sans Pro" w:hAnsi="Source Sans Pro" w:cs="Times New Roman"/>
              </w:rPr>
              <w:t>zz</w:t>
            </w:r>
            <w:proofErr w:type="spellEnd"/>
            <w:r w:rsidR="004F6E7B">
              <w:rPr>
                <w:rFonts w:ascii="Source Sans Pro" w:eastAsia="Source Sans Pro" w:hAnsi="Source Sans Pro" w:cs="Times New Roman"/>
              </w:rPr>
              <w:t>)</w:t>
            </w:r>
          </w:p>
        </w:tc>
        <w:tc>
          <w:tcPr>
            <w:tcW w:w="10348" w:type="dxa"/>
          </w:tcPr>
          <w:p w14:paraId="341354E9" w14:textId="77777777" w:rsidR="004F6E7B" w:rsidRPr="007226E6" w:rsidRDefault="007F7C42" w:rsidP="004F6E7B">
            <w:pPr>
              <w:rPr>
                <w:rFonts w:ascii="Source Sans Pro" w:eastAsia="Source Sans Pro" w:hAnsi="Source Sans Pro" w:cs="Times New Roman"/>
                <w:b/>
                <w:bCs/>
              </w:rPr>
            </w:pPr>
            <w:r w:rsidRPr="007226E6">
              <w:rPr>
                <w:rFonts w:ascii="Source Sans Pro" w:eastAsia="Source Sans Pro" w:hAnsi="Source Sans Pro" w:cs="Times New Roman"/>
                <w:b/>
                <w:bCs/>
              </w:rPr>
              <w:t>Commentary</w:t>
            </w:r>
          </w:p>
          <w:p w14:paraId="64AD2D95" w14:textId="77777777" w:rsidR="007F7C42" w:rsidRDefault="00902873" w:rsidP="00935DC0">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Table </w:t>
            </w:r>
            <w:r w:rsidR="006F636C">
              <w:rPr>
                <w:rFonts w:ascii="Source Sans Pro" w:eastAsia="Source Sans Pro" w:hAnsi="Source Sans Pro" w:cs="Times New Roman"/>
              </w:rPr>
              <w:t>2(</w:t>
            </w:r>
            <w:proofErr w:type="spellStart"/>
            <w:r w:rsidR="006F636C">
              <w:rPr>
                <w:rFonts w:ascii="Source Sans Pro" w:eastAsia="Source Sans Pro" w:hAnsi="Source Sans Pro" w:cs="Times New Roman"/>
              </w:rPr>
              <w:t>zz</w:t>
            </w:r>
            <w:proofErr w:type="spellEnd"/>
            <w:r w:rsidR="006F636C">
              <w:rPr>
                <w:rFonts w:ascii="Source Sans Pro" w:eastAsia="Source Sans Pro" w:hAnsi="Source Sans Pro" w:cs="Times New Roman"/>
              </w:rPr>
              <w:t xml:space="preserve">) states that </w:t>
            </w:r>
            <w:r w:rsidR="002A31C2">
              <w:rPr>
                <w:rFonts w:ascii="Source Sans Pro" w:eastAsia="Source Sans Pro" w:hAnsi="Source Sans Pro" w:cs="Times New Roman"/>
              </w:rPr>
              <w:t>“</w:t>
            </w:r>
            <w:r w:rsidR="006F636C">
              <w:rPr>
                <w:rFonts w:ascii="Source Sans Pro" w:eastAsia="Source Sans Pro" w:hAnsi="Source Sans Pro" w:cs="Times New Roman"/>
              </w:rPr>
              <w:t>investments in entities, assets generated by business activities not otherwise included in Table 2</w:t>
            </w:r>
            <w:r w:rsidR="002A31C2">
              <w:rPr>
                <w:rFonts w:ascii="Source Sans Pro" w:eastAsia="Source Sans Pro" w:hAnsi="Source Sans Pro" w:cs="Times New Roman"/>
              </w:rPr>
              <w:t>”</w:t>
            </w:r>
            <w:r w:rsidR="006F636C">
              <w:rPr>
                <w:rFonts w:ascii="Source Sans Pro" w:eastAsia="Source Sans Pro" w:hAnsi="Source Sans Pro" w:cs="Times New Roman"/>
              </w:rPr>
              <w:t xml:space="preserve"> </w:t>
            </w:r>
            <w:r w:rsidR="0001718A">
              <w:rPr>
                <w:rFonts w:ascii="Source Sans Pro" w:eastAsia="Source Sans Pro" w:hAnsi="Source Sans Pro" w:cs="Times New Roman"/>
              </w:rPr>
              <w:t>receive</w:t>
            </w:r>
            <w:r w:rsidR="002A31C2">
              <w:rPr>
                <w:rFonts w:ascii="Source Sans Pro" w:eastAsia="Source Sans Pro" w:hAnsi="Source Sans Pro" w:cs="Times New Roman"/>
              </w:rPr>
              <w:t>s</w:t>
            </w:r>
            <w:r w:rsidR="0001718A">
              <w:rPr>
                <w:rFonts w:ascii="Source Sans Pro" w:eastAsia="Source Sans Pro" w:hAnsi="Source Sans Pro" w:cs="Times New Roman"/>
              </w:rPr>
              <w:t xml:space="preserve"> a risk weighting of 1250%</w:t>
            </w:r>
            <w:r w:rsidR="00D74704">
              <w:rPr>
                <w:rFonts w:ascii="Source Sans Pro" w:eastAsia="Source Sans Pro" w:hAnsi="Source Sans Pro" w:cs="Times New Roman"/>
              </w:rPr>
              <w:t xml:space="preserve"> which is the most punitive capital requirement</w:t>
            </w:r>
            <w:r w:rsidR="00535B7D">
              <w:rPr>
                <w:rFonts w:ascii="Source Sans Pro" w:eastAsia="Source Sans Pro" w:hAnsi="Source Sans Pro" w:cs="Times New Roman"/>
              </w:rPr>
              <w:t xml:space="preserve"> category.</w:t>
            </w:r>
          </w:p>
          <w:p w14:paraId="2C164A22" w14:textId="77777777" w:rsidR="00793063" w:rsidRDefault="002414AC" w:rsidP="00935DC0">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This category </w:t>
            </w:r>
            <w:r w:rsidR="00535B7D">
              <w:rPr>
                <w:rFonts w:ascii="Source Sans Pro" w:eastAsia="Source Sans Pro" w:hAnsi="Source Sans Pro" w:cs="Times New Roman"/>
              </w:rPr>
              <w:t>is too broad as it currently by default</w:t>
            </w:r>
            <w:r w:rsidR="004E0B62">
              <w:rPr>
                <w:rFonts w:ascii="Source Sans Pro" w:eastAsia="Source Sans Pro" w:hAnsi="Source Sans Pro" w:cs="Times New Roman"/>
              </w:rPr>
              <w:t>,</w:t>
            </w:r>
            <w:r w:rsidR="00535B7D">
              <w:rPr>
                <w:rFonts w:ascii="Source Sans Pro" w:eastAsia="Source Sans Pro" w:hAnsi="Source Sans Pro" w:cs="Times New Roman"/>
              </w:rPr>
              <w:t xml:space="preserve"> includes</w:t>
            </w:r>
            <w:r w:rsidR="00793063">
              <w:rPr>
                <w:rFonts w:ascii="Source Sans Pro" w:eastAsia="Source Sans Pro" w:hAnsi="Source Sans Pro" w:cs="Times New Roman"/>
              </w:rPr>
              <w:t>:</w:t>
            </w:r>
          </w:p>
          <w:p w14:paraId="5EC49A38" w14:textId="77777777" w:rsidR="00793063" w:rsidRDefault="00535B7D"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 </w:t>
            </w:r>
            <w:r w:rsidR="00077167">
              <w:rPr>
                <w:rFonts w:ascii="Source Sans Pro" w:eastAsia="Source Sans Pro" w:hAnsi="Source Sans Pro" w:cs="Times New Roman"/>
              </w:rPr>
              <w:t xml:space="preserve">public and other equities </w:t>
            </w:r>
            <w:r w:rsidR="00F41963">
              <w:rPr>
                <w:rFonts w:ascii="Source Sans Pro" w:eastAsia="Source Sans Pro" w:hAnsi="Source Sans Pro" w:cs="Times New Roman"/>
              </w:rPr>
              <w:t>held as part of Credit Union’s liquidity and investment portfolios</w:t>
            </w:r>
          </w:p>
          <w:p w14:paraId="2B39F4BE" w14:textId="6B557777" w:rsidR="00793063" w:rsidRDefault="003F0087"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investments in Central 1</w:t>
            </w:r>
          </w:p>
          <w:p w14:paraId="39D9AC1C" w14:textId="48D505B8" w:rsidR="00793063" w:rsidRDefault="005C0A14"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alternative investments</w:t>
            </w:r>
          </w:p>
          <w:p w14:paraId="57748057" w14:textId="2F49367E" w:rsidR="00793063" w:rsidRDefault="008152B5"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investment </w:t>
            </w:r>
            <w:r w:rsidR="00E62F05">
              <w:rPr>
                <w:rFonts w:ascii="Source Sans Pro" w:eastAsia="Source Sans Pro" w:hAnsi="Source Sans Pro" w:cs="Times New Roman"/>
              </w:rPr>
              <w:t>fund</w:t>
            </w:r>
            <w:r>
              <w:rPr>
                <w:rFonts w:ascii="Source Sans Pro" w:eastAsia="Source Sans Pro" w:hAnsi="Source Sans Pro" w:cs="Times New Roman"/>
              </w:rPr>
              <w:t>s including fund</w:t>
            </w:r>
            <w:r w:rsidR="00E62F05">
              <w:rPr>
                <w:rFonts w:ascii="Source Sans Pro" w:eastAsia="Source Sans Pro" w:hAnsi="Source Sans Pro" w:cs="Times New Roman"/>
              </w:rPr>
              <w:t xml:space="preserve"> of funds</w:t>
            </w:r>
          </w:p>
          <w:p w14:paraId="4CC22644" w14:textId="26BC40AA" w:rsidR="00793063" w:rsidRDefault="00E62F05"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real estate investments</w:t>
            </w:r>
          </w:p>
          <w:p w14:paraId="1371A0BF" w14:textId="2C005026" w:rsidR="00793063" w:rsidRDefault="00617BFA"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corporate bonds</w:t>
            </w:r>
            <w:r w:rsidR="00793063">
              <w:rPr>
                <w:rFonts w:ascii="Source Sans Pro" w:eastAsia="Source Sans Pro" w:hAnsi="Source Sans Pro" w:cs="Times New Roman"/>
              </w:rPr>
              <w:t xml:space="preserve"> and</w:t>
            </w:r>
            <w:r w:rsidR="00C51D87">
              <w:rPr>
                <w:rFonts w:ascii="Source Sans Pro" w:eastAsia="Source Sans Pro" w:hAnsi="Source Sans Pro" w:cs="Times New Roman"/>
              </w:rPr>
              <w:t xml:space="preserve"> </w:t>
            </w:r>
            <w:r w:rsidR="002A7138">
              <w:rPr>
                <w:rFonts w:ascii="Source Sans Pro" w:eastAsia="Source Sans Pro" w:hAnsi="Source Sans Pro" w:cs="Times New Roman"/>
              </w:rPr>
              <w:t>short-term commercial paper</w:t>
            </w:r>
          </w:p>
          <w:p w14:paraId="5DD3A05E" w14:textId="58F15856" w:rsidR="00793063" w:rsidRDefault="005C0A14"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other</w:t>
            </w:r>
            <w:r w:rsidR="00CE7642">
              <w:rPr>
                <w:rFonts w:ascii="Source Sans Pro" w:eastAsia="Source Sans Pro" w:hAnsi="Source Sans Pro" w:cs="Times New Roman"/>
              </w:rPr>
              <w:t xml:space="preserve"> financial</w:t>
            </w:r>
            <w:r>
              <w:rPr>
                <w:rFonts w:ascii="Source Sans Pro" w:eastAsia="Source Sans Pro" w:hAnsi="Source Sans Pro" w:cs="Times New Roman"/>
              </w:rPr>
              <w:t xml:space="preserve"> assets</w:t>
            </w:r>
            <w:r w:rsidR="00CE7642">
              <w:rPr>
                <w:rFonts w:ascii="Source Sans Pro" w:eastAsia="Source Sans Pro" w:hAnsi="Source Sans Pro" w:cs="Times New Roman"/>
              </w:rPr>
              <w:t xml:space="preserve"> (e.g.</w:t>
            </w:r>
            <w:r w:rsidR="009621BB">
              <w:rPr>
                <w:rFonts w:ascii="Source Sans Pro" w:eastAsia="Source Sans Pro" w:hAnsi="Source Sans Pro" w:cs="Times New Roman"/>
              </w:rPr>
              <w:t>,</w:t>
            </w:r>
            <w:r w:rsidR="00CE7642">
              <w:rPr>
                <w:rFonts w:ascii="Source Sans Pro" w:eastAsia="Source Sans Pro" w:hAnsi="Source Sans Pro" w:cs="Times New Roman"/>
              </w:rPr>
              <w:t xml:space="preserve"> prepaids, other receivables</w:t>
            </w:r>
            <w:r w:rsidR="009F03E8">
              <w:rPr>
                <w:rFonts w:ascii="Source Sans Pro" w:eastAsia="Source Sans Pro" w:hAnsi="Source Sans Pro" w:cs="Times New Roman"/>
              </w:rPr>
              <w:t>)</w:t>
            </w:r>
          </w:p>
          <w:p w14:paraId="6F28D548" w14:textId="387E1B7D" w:rsidR="00793063" w:rsidRDefault="009F03E8"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other non-financial </w:t>
            </w:r>
            <w:r w:rsidR="009E3EDD">
              <w:rPr>
                <w:rFonts w:ascii="Source Sans Pro" w:eastAsia="Source Sans Pro" w:hAnsi="Source Sans Pro" w:cs="Times New Roman"/>
              </w:rPr>
              <w:t xml:space="preserve">operating </w:t>
            </w:r>
            <w:r>
              <w:rPr>
                <w:rFonts w:ascii="Source Sans Pro" w:eastAsia="Source Sans Pro" w:hAnsi="Source Sans Pro" w:cs="Times New Roman"/>
              </w:rPr>
              <w:t>assets (</w:t>
            </w:r>
            <w:r w:rsidR="00094B57">
              <w:rPr>
                <w:rFonts w:ascii="Source Sans Pro" w:eastAsia="Source Sans Pro" w:hAnsi="Source Sans Pro" w:cs="Times New Roman"/>
              </w:rPr>
              <w:t>e.g.</w:t>
            </w:r>
            <w:r w:rsidR="009621BB">
              <w:rPr>
                <w:rFonts w:ascii="Source Sans Pro" w:eastAsia="Source Sans Pro" w:hAnsi="Source Sans Pro" w:cs="Times New Roman"/>
              </w:rPr>
              <w:t>,</w:t>
            </w:r>
            <w:r w:rsidR="00094B57">
              <w:rPr>
                <w:rFonts w:ascii="Source Sans Pro" w:eastAsia="Source Sans Pro" w:hAnsi="Source Sans Pro" w:cs="Times New Roman"/>
              </w:rPr>
              <w:t xml:space="preserve"> </w:t>
            </w:r>
            <w:r w:rsidR="007D0D92">
              <w:rPr>
                <w:rFonts w:ascii="Source Sans Pro" w:eastAsia="Source Sans Pro" w:hAnsi="Source Sans Pro" w:cs="Times New Roman"/>
              </w:rPr>
              <w:t xml:space="preserve">land, building, </w:t>
            </w:r>
            <w:r w:rsidR="00993E61">
              <w:rPr>
                <w:rFonts w:ascii="Source Sans Pro" w:eastAsia="Source Sans Pro" w:hAnsi="Source Sans Pro" w:cs="Times New Roman"/>
              </w:rPr>
              <w:t xml:space="preserve">leasehold improvement, right-of-use assets, </w:t>
            </w:r>
            <w:r w:rsidR="007D0D92">
              <w:rPr>
                <w:rFonts w:ascii="Source Sans Pro" w:eastAsia="Source Sans Pro" w:hAnsi="Source Sans Pro" w:cs="Times New Roman"/>
              </w:rPr>
              <w:t>equipment</w:t>
            </w:r>
            <w:r>
              <w:rPr>
                <w:rFonts w:ascii="Source Sans Pro" w:eastAsia="Source Sans Pro" w:hAnsi="Source Sans Pro" w:cs="Times New Roman"/>
              </w:rPr>
              <w:t xml:space="preserve">, </w:t>
            </w:r>
            <w:r w:rsidR="006A1761">
              <w:rPr>
                <w:rFonts w:ascii="Source Sans Pro" w:eastAsia="Source Sans Pro" w:hAnsi="Source Sans Pro" w:cs="Times New Roman"/>
              </w:rPr>
              <w:t xml:space="preserve">deferred charges, </w:t>
            </w:r>
            <w:r w:rsidR="00EA0676">
              <w:rPr>
                <w:rFonts w:ascii="Source Sans Pro" w:eastAsia="Source Sans Pro" w:hAnsi="Source Sans Pro" w:cs="Times New Roman"/>
              </w:rPr>
              <w:t>software not classified as intangible assets)</w:t>
            </w:r>
          </w:p>
          <w:p w14:paraId="62BA9D25" w14:textId="77270AE3" w:rsidR="00DA6590" w:rsidRDefault="00DA6590" w:rsidP="00793063">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residential mortgage loans exceeding 80% LTV</w:t>
            </w:r>
          </w:p>
          <w:p w14:paraId="2C2B837D" w14:textId="6A1DAA60" w:rsidR="0001718A" w:rsidRDefault="00DA6590" w:rsidP="00935DC0">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In addition, without clear </w:t>
            </w:r>
            <w:r w:rsidR="006E6C53">
              <w:rPr>
                <w:rFonts w:ascii="Source Sans Pro" w:eastAsia="Source Sans Pro" w:hAnsi="Source Sans Pro" w:cs="Times New Roman"/>
              </w:rPr>
              <w:t>guidance to state otherwise</w:t>
            </w:r>
            <w:r w:rsidR="003B7B3E">
              <w:rPr>
                <w:rFonts w:ascii="Source Sans Pro" w:eastAsia="Source Sans Pro" w:hAnsi="Source Sans Pro" w:cs="Times New Roman"/>
              </w:rPr>
              <w:t>,</w:t>
            </w:r>
            <w:r w:rsidR="007914E1">
              <w:rPr>
                <w:rFonts w:ascii="Source Sans Pro" w:eastAsia="Source Sans Pro" w:hAnsi="Source Sans Pro" w:cs="Times New Roman"/>
              </w:rPr>
              <w:t xml:space="preserve"> assets that are direct deductions from Tier 1 and 2 </w:t>
            </w:r>
            <w:proofErr w:type="gramStart"/>
            <w:r w:rsidR="007914E1">
              <w:rPr>
                <w:rFonts w:ascii="Source Sans Pro" w:eastAsia="Source Sans Pro" w:hAnsi="Source Sans Pro" w:cs="Times New Roman"/>
              </w:rPr>
              <w:t>capital</w:t>
            </w:r>
            <w:proofErr w:type="gramEnd"/>
            <w:r w:rsidR="00165898">
              <w:rPr>
                <w:rFonts w:ascii="Source Sans Pro" w:eastAsia="Source Sans Pro" w:hAnsi="Source Sans Pro" w:cs="Times New Roman"/>
              </w:rPr>
              <w:t>, and</w:t>
            </w:r>
            <w:r w:rsidR="006E6C53">
              <w:rPr>
                <w:rFonts w:ascii="Source Sans Pro" w:eastAsia="Source Sans Pro" w:hAnsi="Source Sans Pro" w:cs="Times New Roman"/>
              </w:rPr>
              <w:t xml:space="preserve"> </w:t>
            </w:r>
            <w:r w:rsidR="002E2178">
              <w:rPr>
                <w:rFonts w:ascii="Source Sans Pro" w:eastAsia="Source Sans Pro" w:hAnsi="Source Sans Pro" w:cs="Times New Roman"/>
              </w:rPr>
              <w:t xml:space="preserve">assets </w:t>
            </w:r>
            <w:r w:rsidR="001F40BC">
              <w:rPr>
                <w:rFonts w:ascii="Source Sans Pro" w:eastAsia="Source Sans Pro" w:hAnsi="Source Sans Pro" w:cs="Times New Roman"/>
              </w:rPr>
              <w:t xml:space="preserve">exempt from direct deductions from capital </w:t>
            </w:r>
            <w:r w:rsidR="002E2178">
              <w:rPr>
                <w:rFonts w:ascii="Source Sans Pro" w:eastAsia="Source Sans Pro" w:hAnsi="Source Sans Pro" w:cs="Times New Roman"/>
              </w:rPr>
              <w:t xml:space="preserve">subject to </w:t>
            </w:r>
            <w:r w:rsidR="008842B6">
              <w:rPr>
                <w:rFonts w:ascii="Source Sans Pro" w:eastAsia="Source Sans Pro" w:hAnsi="Source Sans Pro" w:cs="Times New Roman"/>
              </w:rPr>
              <w:t>an aggregate limit</w:t>
            </w:r>
            <w:r w:rsidR="006E6C53">
              <w:rPr>
                <w:rFonts w:ascii="Source Sans Pro" w:eastAsia="Source Sans Pro" w:hAnsi="Source Sans Pro" w:cs="Times New Roman"/>
              </w:rPr>
              <w:t xml:space="preserve"> may also be interpreted to fall into the 1250% </w:t>
            </w:r>
            <w:r w:rsidR="002C710C">
              <w:rPr>
                <w:rFonts w:ascii="Source Sans Pro" w:eastAsia="Source Sans Pro" w:hAnsi="Source Sans Pro" w:cs="Times New Roman"/>
              </w:rPr>
              <w:t>risk weight</w:t>
            </w:r>
            <w:r w:rsidR="00793063">
              <w:rPr>
                <w:rFonts w:ascii="Source Sans Pro" w:eastAsia="Source Sans Pro" w:hAnsi="Source Sans Pro" w:cs="Times New Roman"/>
              </w:rPr>
              <w:t>ing</w:t>
            </w:r>
            <w:r w:rsidR="002C710C">
              <w:rPr>
                <w:rFonts w:ascii="Source Sans Pro" w:eastAsia="Source Sans Pro" w:hAnsi="Source Sans Pro" w:cs="Times New Roman"/>
              </w:rPr>
              <w:t xml:space="preserve"> by default which would lead to double counting</w:t>
            </w:r>
            <w:r w:rsidR="00EF5074">
              <w:rPr>
                <w:rFonts w:ascii="Source Sans Pro" w:eastAsia="Source Sans Pro" w:hAnsi="Source Sans Pro" w:cs="Times New Roman"/>
              </w:rPr>
              <w:t xml:space="preserve"> of capital impact</w:t>
            </w:r>
            <w:r w:rsidR="002E2666">
              <w:rPr>
                <w:rFonts w:ascii="Source Sans Pro" w:eastAsia="Source Sans Pro" w:hAnsi="Source Sans Pro" w:cs="Times New Roman"/>
              </w:rPr>
              <w:t>.</w:t>
            </w:r>
          </w:p>
          <w:p w14:paraId="1C600D3B" w14:textId="77777777" w:rsidR="0044770F" w:rsidRDefault="0044770F" w:rsidP="00935DC0">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We recommend </w:t>
            </w:r>
            <w:r w:rsidR="00EF5074">
              <w:rPr>
                <w:rFonts w:ascii="Source Sans Pro" w:eastAsia="Source Sans Pro" w:hAnsi="Source Sans Pro" w:cs="Times New Roman"/>
              </w:rPr>
              <w:t xml:space="preserve">clearer language around </w:t>
            </w:r>
            <w:r w:rsidR="00DB1885">
              <w:rPr>
                <w:rFonts w:ascii="Source Sans Pro" w:eastAsia="Source Sans Pro" w:hAnsi="Source Sans Pro" w:cs="Times New Roman"/>
              </w:rPr>
              <w:t xml:space="preserve">risk weighting of additional asset categories and that risk weighting be aligned with OSFI </w:t>
            </w:r>
            <w:r w:rsidR="00FA6385">
              <w:rPr>
                <w:rFonts w:ascii="Source Sans Pro" w:eastAsia="Source Sans Pro" w:hAnsi="Source Sans Pro" w:cs="Times New Roman"/>
              </w:rPr>
              <w:t>guidance</w:t>
            </w:r>
            <w:r w:rsidR="00D74B5C">
              <w:rPr>
                <w:rFonts w:ascii="Source Sans Pro" w:eastAsia="Source Sans Pro" w:hAnsi="Source Sans Pro" w:cs="Times New Roman"/>
              </w:rPr>
              <w:t>. For example, we recommend the following specific risk weighting</w:t>
            </w:r>
            <w:r w:rsidR="00165898">
              <w:rPr>
                <w:rFonts w:ascii="Source Sans Pro" w:eastAsia="Source Sans Pro" w:hAnsi="Source Sans Pro" w:cs="Times New Roman"/>
              </w:rPr>
              <w:t>s</w:t>
            </w:r>
            <w:r w:rsidR="00D74B5C">
              <w:rPr>
                <w:rFonts w:ascii="Source Sans Pro" w:eastAsia="Source Sans Pro" w:hAnsi="Source Sans Pro" w:cs="Times New Roman"/>
              </w:rPr>
              <w:t>:</w:t>
            </w:r>
          </w:p>
          <w:p w14:paraId="2BE85A77" w14:textId="77777777" w:rsidR="00FA6385" w:rsidRDefault="00C07424" w:rsidP="00FA6385">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Other financial and non-financial assets</w:t>
            </w:r>
            <w:r w:rsidR="00EE0A8F">
              <w:rPr>
                <w:rFonts w:ascii="Source Sans Pro" w:eastAsia="Source Sans Pro" w:hAnsi="Source Sans Pro" w:cs="Times New Roman"/>
              </w:rPr>
              <w:t>: 100%</w:t>
            </w:r>
          </w:p>
          <w:p w14:paraId="0BE34C65" w14:textId="2FD9AD7D" w:rsidR="00EE0A8F" w:rsidRDefault="00EE0A8F" w:rsidP="00FA6385">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Corporate bonds</w:t>
            </w:r>
            <w:r w:rsidR="002A7138">
              <w:rPr>
                <w:rFonts w:ascii="Source Sans Pro" w:eastAsia="Source Sans Pro" w:hAnsi="Source Sans Pro" w:cs="Times New Roman"/>
              </w:rPr>
              <w:t xml:space="preserve"> and short-term commercial paper</w:t>
            </w:r>
            <w:r>
              <w:rPr>
                <w:rFonts w:ascii="Source Sans Pro" w:eastAsia="Source Sans Pro" w:hAnsi="Source Sans Pro" w:cs="Times New Roman"/>
              </w:rPr>
              <w:t xml:space="preserve">: </w:t>
            </w:r>
            <w:r w:rsidR="0069706A">
              <w:rPr>
                <w:rFonts w:ascii="Source Sans Pro" w:eastAsia="Source Sans Pro" w:hAnsi="Source Sans Pro" w:cs="Times New Roman"/>
              </w:rPr>
              <w:t xml:space="preserve">leverage Table 4 </w:t>
            </w:r>
            <w:r w:rsidR="00CF3918">
              <w:rPr>
                <w:rFonts w:ascii="Source Sans Pro" w:eastAsia="Source Sans Pro" w:hAnsi="Source Sans Pro" w:cs="Times New Roman"/>
              </w:rPr>
              <w:t xml:space="preserve">Credit Ratings Table based on </w:t>
            </w:r>
            <w:r w:rsidR="002620F3">
              <w:rPr>
                <w:rFonts w:ascii="Source Sans Pro" w:eastAsia="Source Sans Pro" w:hAnsi="Source Sans Pro" w:cs="Times New Roman"/>
              </w:rPr>
              <w:t xml:space="preserve">issuers’ credit rating </w:t>
            </w:r>
            <w:r w:rsidR="00D26EA9">
              <w:rPr>
                <w:rFonts w:ascii="Source Sans Pro" w:eastAsia="Source Sans Pro" w:hAnsi="Source Sans Pro" w:cs="Times New Roman"/>
              </w:rPr>
              <w:t xml:space="preserve">(% ranges </w:t>
            </w:r>
            <w:r w:rsidR="00C74100">
              <w:rPr>
                <w:rFonts w:ascii="Source Sans Pro" w:eastAsia="Source Sans Pro" w:hAnsi="Source Sans Pro" w:cs="Times New Roman"/>
              </w:rPr>
              <w:t>from 20% to 150%</w:t>
            </w:r>
            <w:r w:rsidR="00D26EA9">
              <w:rPr>
                <w:rFonts w:ascii="Source Sans Pro" w:eastAsia="Source Sans Pro" w:hAnsi="Source Sans Pro" w:cs="Times New Roman"/>
              </w:rPr>
              <w:t>)</w:t>
            </w:r>
          </w:p>
          <w:p w14:paraId="29F664E8" w14:textId="2BBDF3B8" w:rsidR="00C726C3" w:rsidRDefault="00F94374" w:rsidP="00FA6385">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Equity i</w:t>
            </w:r>
            <w:r w:rsidR="00C726C3">
              <w:rPr>
                <w:rFonts w:ascii="Source Sans Pro" w:eastAsia="Source Sans Pro" w:hAnsi="Source Sans Pro" w:cs="Times New Roman"/>
              </w:rPr>
              <w:t>nvestments in Central 1</w:t>
            </w:r>
            <w:r w:rsidR="00656FC7">
              <w:rPr>
                <w:rFonts w:ascii="Source Sans Pro" w:eastAsia="Source Sans Pro" w:hAnsi="Source Sans Pro" w:cs="Times New Roman"/>
              </w:rPr>
              <w:t>: 100%</w:t>
            </w:r>
            <w:r w:rsidR="00165898">
              <w:rPr>
                <w:rFonts w:ascii="Source Sans Pro" w:eastAsia="Source Sans Pro" w:hAnsi="Source Sans Pro" w:cs="Times New Roman"/>
              </w:rPr>
              <w:t xml:space="preserve">, given </w:t>
            </w:r>
            <w:r w:rsidR="00C25C83">
              <w:rPr>
                <w:rFonts w:ascii="Source Sans Pro" w:eastAsia="Source Sans Pro" w:hAnsi="Source Sans Pro" w:cs="Times New Roman"/>
              </w:rPr>
              <w:t>C</w:t>
            </w:r>
            <w:r w:rsidR="00165898">
              <w:rPr>
                <w:rFonts w:ascii="Source Sans Pro" w:eastAsia="Source Sans Pro" w:hAnsi="Source Sans Pro" w:cs="Times New Roman"/>
              </w:rPr>
              <w:t xml:space="preserve">entral 1’s prevalence and connectedness in the </w:t>
            </w:r>
            <w:r w:rsidR="00C25C83">
              <w:rPr>
                <w:rFonts w:ascii="Source Sans Pro" w:eastAsia="Source Sans Pro" w:hAnsi="Source Sans Pro" w:cs="Times New Roman"/>
              </w:rPr>
              <w:t>C</w:t>
            </w:r>
            <w:r w:rsidR="00165898">
              <w:rPr>
                <w:rFonts w:ascii="Source Sans Pro" w:eastAsia="Source Sans Pro" w:hAnsi="Source Sans Pro" w:cs="Times New Roman"/>
              </w:rPr>
              <w:t xml:space="preserve">redit </w:t>
            </w:r>
            <w:r w:rsidR="00C25C83">
              <w:rPr>
                <w:rFonts w:ascii="Source Sans Pro" w:eastAsia="Source Sans Pro" w:hAnsi="Source Sans Pro" w:cs="Times New Roman"/>
              </w:rPr>
              <w:t>U</w:t>
            </w:r>
            <w:r w:rsidR="00165898">
              <w:rPr>
                <w:rFonts w:ascii="Source Sans Pro" w:eastAsia="Source Sans Pro" w:hAnsi="Source Sans Pro" w:cs="Times New Roman"/>
              </w:rPr>
              <w:t>nion environment.</w:t>
            </w:r>
          </w:p>
          <w:p w14:paraId="6C89E42E" w14:textId="6471DAD0" w:rsidR="00C74100" w:rsidRDefault="009E3EDD" w:rsidP="00FA6385">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All </w:t>
            </w:r>
            <w:r w:rsidR="0028549B">
              <w:rPr>
                <w:rFonts w:ascii="Source Sans Pro" w:eastAsia="Source Sans Pro" w:hAnsi="Source Sans Pro" w:cs="Times New Roman"/>
              </w:rPr>
              <w:t>investments including equities, alternative investments, funds</w:t>
            </w:r>
            <w:r w:rsidR="00222F27">
              <w:rPr>
                <w:rFonts w:ascii="Source Sans Pro" w:eastAsia="Source Sans Pro" w:hAnsi="Source Sans Pro" w:cs="Times New Roman"/>
              </w:rPr>
              <w:t>, real estate should be aligned with OSFI guidance</w:t>
            </w:r>
            <w:r w:rsidR="00743A12">
              <w:rPr>
                <w:rFonts w:ascii="Source Sans Pro" w:eastAsia="Source Sans Pro" w:hAnsi="Source Sans Pro" w:cs="Times New Roman"/>
              </w:rPr>
              <w:t>.</w:t>
            </w:r>
            <w:r w:rsidR="00165898">
              <w:rPr>
                <w:rFonts w:ascii="Source Sans Pro" w:eastAsia="Source Sans Pro" w:hAnsi="Source Sans Pro" w:cs="Times New Roman"/>
              </w:rPr>
              <w:t xml:space="preserve">  This includes a general requirement to account for non-publicly listed equity exposures at a 400% risk weight</w:t>
            </w:r>
            <w:r w:rsidR="00793063">
              <w:rPr>
                <w:rFonts w:ascii="Source Sans Pro" w:eastAsia="Source Sans Pro" w:hAnsi="Source Sans Pro" w:cs="Times New Roman"/>
              </w:rPr>
              <w:t>ing</w:t>
            </w:r>
            <w:r w:rsidR="00165898">
              <w:rPr>
                <w:rFonts w:ascii="Source Sans Pro" w:eastAsia="Source Sans Pro" w:hAnsi="Source Sans Pro" w:cs="Times New Roman"/>
              </w:rPr>
              <w:t>, and publicly listed equity exposures at a 250% risk weight</w:t>
            </w:r>
            <w:r w:rsidR="00793063">
              <w:rPr>
                <w:rFonts w:ascii="Source Sans Pro" w:eastAsia="Source Sans Pro" w:hAnsi="Source Sans Pro" w:cs="Times New Roman"/>
              </w:rPr>
              <w:t>ing</w:t>
            </w:r>
            <w:r w:rsidR="00165898">
              <w:rPr>
                <w:rFonts w:ascii="Source Sans Pro" w:eastAsia="Source Sans Pro" w:hAnsi="Source Sans Pro" w:cs="Times New Roman"/>
              </w:rPr>
              <w:t>.</w:t>
            </w:r>
          </w:p>
          <w:p w14:paraId="0103B8FE" w14:textId="19C51332" w:rsidR="00743A12" w:rsidRDefault="00743A12" w:rsidP="00FA6385">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Assets deducted directly from Tier 1 and Tier 2 capital </w:t>
            </w:r>
            <w:r w:rsidR="00FC394C">
              <w:rPr>
                <w:rFonts w:ascii="Source Sans Pro" w:eastAsia="Source Sans Pro" w:hAnsi="Source Sans Pro" w:cs="Times New Roman"/>
              </w:rPr>
              <w:t>(e.g.</w:t>
            </w:r>
            <w:r w:rsidR="009621BB">
              <w:rPr>
                <w:rFonts w:ascii="Source Sans Pro" w:eastAsia="Source Sans Pro" w:hAnsi="Source Sans Pro" w:cs="Times New Roman"/>
              </w:rPr>
              <w:t>,</w:t>
            </w:r>
            <w:r w:rsidR="00FC394C">
              <w:rPr>
                <w:rFonts w:ascii="Source Sans Pro" w:eastAsia="Source Sans Pro" w:hAnsi="Source Sans Pro" w:cs="Times New Roman"/>
              </w:rPr>
              <w:t xml:space="preserve"> goodwill, </w:t>
            </w:r>
            <w:r w:rsidR="00AD2643">
              <w:rPr>
                <w:rFonts w:ascii="Source Sans Pro" w:eastAsia="Source Sans Pro" w:hAnsi="Source Sans Pro" w:cs="Times New Roman"/>
              </w:rPr>
              <w:t>acquired intangible assets</w:t>
            </w:r>
            <w:r w:rsidR="007E7D85">
              <w:rPr>
                <w:rFonts w:ascii="Source Sans Pro" w:eastAsia="Source Sans Pro" w:hAnsi="Source Sans Pro" w:cs="Times New Roman"/>
              </w:rPr>
              <w:t>, deferred tax assets)</w:t>
            </w:r>
            <w:r w:rsidR="00F31FAC">
              <w:rPr>
                <w:rFonts w:ascii="Source Sans Pro" w:eastAsia="Source Sans Pro" w:hAnsi="Source Sans Pro" w:cs="Times New Roman"/>
              </w:rPr>
              <w:t>: 0%</w:t>
            </w:r>
            <w:r w:rsidR="00F94374">
              <w:rPr>
                <w:rFonts w:ascii="Source Sans Pro" w:eastAsia="Source Sans Pro" w:hAnsi="Source Sans Pro" w:cs="Times New Roman"/>
              </w:rPr>
              <w:t xml:space="preserve"> (note that language should be added that all item</w:t>
            </w:r>
            <w:r w:rsidR="004E0B62">
              <w:rPr>
                <w:rFonts w:ascii="Source Sans Pro" w:eastAsia="Source Sans Pro" w:hAnsi="Source Sans Pro" w:cs="Times New Roman"/>
              </w:rPr>
              <w:t>s</w:t>
            </w:r>
            <w:r w:rsidR="00F94374">
              <w:rPr>
                <w:rFonts w:ascii="Source Sans Pro" w:eastAsia="Source Sans Pro" w:hAnsi="Source Sans Pro" w:cs="Times New Roman"/>
              </w:rPr>
              <w:t xml:space="preserve"> deducted from capital should also be excluded from the exposure measure in calculating leverage </w:t>
            </w:r>
            <w:r w:rsidR="00732A42">
              <w:rPr>
                <w:rFonts w:ascii="Source Sans Pro" w:eastAsia="Source Sans Pro" w:hAnsi="Source Sans Pro" w:cs="Times New Roman"/>
              </w:rPr>
              <w:t>ratio, consistent</w:t>
            </w:r>
            <w:r w:rsidR="00F94374">
              <w:rPr>
                <w:rFonts w:ascii="Source Sans Pro" w:eastAsia="Source Sans Pro" w:hAnsi="Source Sans Pro" w:cs="Times New Roman"/>
              </w:rPr>
              <w:t xml:space="preserve"> with OSFI guidance)</w:t>
            </w:r>
          </w:p>
          <w:p w14:paraId="06DC9A8E" w14:textId="79E11ADA" w:rsidR="00F31FAC" w:rsidRDefault="00F31FAC" w:rsidP="00FA6385">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Assets </w:t>
            </w:r>
            <w:r w:rsidR="00683531">
              <w:rPr>
                <w:rFonts w:ascii="Source Sans Pro" w:eastAsia="Source Sans Pro" w:hAnsi="Source Sans Pro" w:cs="Times New Roman"/>
              </w:rPr>
              <w:t>that are exempt from direct de</w:t>
            </w:r>
            <w:r w:rsidR="00032E31">
              <w:rPr>
                <w:rFonts w:ascii="Source Sans Pro" w:eastAsia="Source Sans Pro" w:hAnsi="Source Sans Pro" w:cs="Times New Roman"/>
              </w:rPr>
              <w:t xml:space="preserve">duction from Tier 1 and Tier 2 capital up to an aggregate maximum </w:t>
            </w:r>
            <w:r w:rsidR="001B2E53">
              <w:rPr>
                <w:rFonts w:ascii="Source Sans Pro" w:eastAsia="Source Sans Pro" w:hAnsi="Source Sans Pro" w:cs="Times New Roman"/>
              </w:rPr>
              <w:t>(</w:t>
            </w:r>
            <w:r w:rsidR="00732A42">
              <w:rPr>
                <w:rFonts w:ascii="Source Sans Pro" w:eastAsia="Source Sans Pro" w:hAnsi="Source Sans Pro" w:cs="Times New Roman"/>
              </w:rPr>
              <w:t>e.g.,</w:t>
            </w:r>
            <w:r w:rsidR="00320741">
              <w:rPr>
                <w:rFonts w:ascii="Source Sans Pro" w:eastAsia="Source Sans Pro" w:hAnsi="Source Sans Pro" w:cs="Times New Roman"/>
              </w:rPr>
              <w:t xml:space="preserve"> </w:t>
            </w:r>
            <w:r w:rsidR="005A1080">
              <w:rPr>
                <w:rFonts w:ascii="Source Sans Pro" w:eastAsia="Source Sans Pro" w:hAnsi="Source Sans Pro" w:cs="Times New Roman"/>
              </w:rPr>
              <w:t>deferred tax assets arising from temporary difference</w:t>
            </w:r>
            <w:r w:rsidR="0092179E">
              <w:rPr>
                <w:rFonts w:ascii="Source Sans Pro" w:eastAsia="Source Sans Pro" w:hAnsi="Source Sans Pro" w:cs="Times New Roman"/>
              </w:rPr>
              <w:t xml:space="preserve">s and computer software </w:t>
            </w:r>
            <w:r w:rsidR="00320741">
              <w:rPr>
                <w:rFonts w:ascii="Source Sans Pro" w:eastAsia="Source Sans Pro" w:hAnsi="Source Sans Pro" w:cs="Times New Roman"/>
              </w:rPr>
              <w:t>up to 1%</w:t>
            </w:r>
            <w:r w:rsidR="005A1080">
              <w:rPr>
                <w:rFonts w:ascii="Source Sans Pro" w:eastAsia="Source Sans Pro" w:hAnsi="Source Sans Pro" w:cs="Times New Roman"/>
              </w:rPr>
              <w:t xml:space="preserve"> of Tier 1 capital</w:t>
            </w:r>
            <w:r w:rsidR="0092179E">
              <w:rPr>
                <w:rFonts w:ascii="Source Sans Pro" w:eastAsia="Source Sans Pro" w:hAnsi="Source Sans Pro" w:cs="Times New Roman"/>
              </w:rPr>
              <w:t>)</w:t>
            </w:r>
            <w:r w:rsidR="00517ED9">
              <w:rPr>
                <w:rFonts w:ascii="Source Sans Pro" w:eastAsia="Source Sans Pro" w:hAnsi="Source Sans Pro" w:cs="Times New Roman"/>
              </w:rPr>
              <w:t>: 100%</w:t>
            </w:r>
          </w:p>
          <w:p w14:paraId="5821E87E" w14:textId="775397E8" w:rsidR="00517ED9" w:rsidRDefault="00517ED9" w:rsidP="00FA6385">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Residential mortgage loans exceeding 80% LTV: </w:t>
            </w:r>
            <w:r w:rsidR="00770860">
              <w:rPr>
                <w:rFonts w:ascii="Source Sans Pro" w:eastAsia="Source Sans Pro" w:hAnsi="Source Sans Pro" w:cs="Times New Roman"/>
              </w:rPr>
              <w:t>75%</w:t>
            </w:r>
          </w:p>
          <w:p w14:paraId="5CF793F1" w14:textId="73D6FD6C" w:rsidR="00F77411" w:rsidRDefault="00F77411" w:rsidP="00F77411">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Section 7(3) </w:t>
            </w:r>
            <w:r w:rsidR="00F31CA5">
              <w:rPr>
                <w:rFonts w:ascii="Source Sans Pro" w:eastAsia="Source Sans Pro" w:hAnsi="Source Sans Pro" w:cs="Times New Roman"/>
              </w:rPr>
              <w:t xml:space="preserve">permits the Chief Executive Officer </w:t>
            </w:r>
            <w:r w:rsidR="007B2461">
              <w:rPr>
                <w:rFonts w:ascii="Source Sans Pro" w:eastAsia="Source Sans Pro" w:hAnsi="Source Sans Pro" w:cs="Times New Roman"/>
              </w:rPr>
              <w:t>(“CEO”)</w:t>
            </w:r>
            <w:r w:rsidR="009621BB">
              <w:rPr>
                <w:rFonts w:ascii="Source Sans Pro" w:eastAsia="Source Sans Pro" w:hAnsi="Source Sans Pro" w:cs="Times New Roman"/>
              </w:rPr>
              <w:t xml:space="preserve"> </w:t>
            </w:r>
            <w:r w:rsidR="00F31CA5">
              <w:rPr>
                <w:rFonts w:ascii="Source Sans Pro" w:eastAsia="Source Sans Pro" w:hAnsi="Source Sans Pro" w:cs="Times New Roman"/>
              </w:rPr>
              <w:t>of FSRA to specify a risk weight</w:t>
            </w:r>
            <w:r w:rsidR="00793063">
              <w:rPr>
                <w:rFonts w:ascii="Source Sans Pro" w:eastAsia="Source Sans Pro" w:hAnsi="Source Sans Pro" w:cs="Times New Roman"/>
              </w:rPr>
              <w:t>ing</w:t>
            </w:r>
            <w:r w:rsidR="00F31CA5">
              <w:rPr>
                <w:rFonts w:ascii="Source Sans Pro" w:eastAsia="Source Sans Pro" w:hAnsi="Source Sans Pro" w:cs="Times New Roman"/>
              </w:rPr>
              <w:t xml:space="preserve"> for investments and asset categories </w:t>
            </w:r>
            <w:r w:rsidR="00A96A90">
              <w:rPr>
                <w:rFonts w:ascii="Source Sans Pro" w:eastAsia="Source Sans Pro" w:hAnsi="Source Sans Pro" w:cs="Times New Roman"/>
              </w:rPr>
              <w:t>not otherwise included in Table 2 that differs from the risk weight</w:t>
            </w:r>
            <w:r w:rsidR="00793063">
              <w:rPr>
                <w:rFonts w:ascii="Source Sans Pro" w:eastAsia="Source Sans Pro" w:hAnsi="Source Sans Pro" w:cs="Times New Roman"/>
              </w:rPr>
              <w:t>ing</w:t>
            </w:r>
            <w:r w:rsidR="00A96A90">
              <w:rPr>
                <w:rFonts w:ascii="Source Sans Pro" w:eastAsia="Source Sans Pro" w:hAnsi="Source Sans Pro" w:cs="Times New Roman"/>
              </w:rPr>
              <w:t xml:space="preserve"> specified in paragraph </w:t>
            </w:r>
            <w:proofErr w:type="spellStart"/>
            <w:r w:rsidR="00700138">
              <w:rPr>
                <w:rFonts w:ascii="Source Sans Pro" w:eastAsia="Source Sans Pro" w:hAnsi="Source Sans Pro" w:cs="Times New Roman"/>
              </w:rPr>
              <w:t>zz</w:t>
            </w:r>
            <w:proofErr w:type="spellEnd"/>
            <w:r w:rsidR="00700138">
              <w:rPr>
                <w:rFonts w:ascii="Source Sans Pro" w:eastAsia="Source Sans Pro" w:hAnsi="Source Sans Pro" w:cs="Times New Roman"/>
              </w:rPr>
              <w:t xml:space="preserve">) of Table 2. We request clear guidance </w:t>
            </w:r>
            <w:r w:rsidR="00793063">
              <w:rPr>
                <w:rFonts w:ascii="Source Sans Pro" w:eastAsia="Source Sans Pro" w:hAnsi="Source Sans Pro" w:cs="Times New Roman"/>
              </w:rPr>
              <w:t xml:space="preserve">for </w:t>
            </w:r>
            <w:r w:rsidR="00700138">
              <w:rPr>
                <w:rFonts w:ascii="Source Sans Pro" w:eastAsia="Source Sans Pro" w:hAnsi="Source Sans Pro" w:cs="Times New Roman"/>
              </w:rPr>
              <w:t>as many asset categor</w:t>
            </w:r>
            <w:r w:rsidR="004E0B62">
              <w:rPr>
                <w:rFonts w:ascii="Source Sans Pro" w:eastAsia="Source Sans Pro" w:hAnsi="Source Sans Pro" w:cs="Times New Roman"/>
              </w:rPr>
              <w:t>ies</w:t>
            </w:r>
            <w:r w:rsidR="00700138">
              <w:rPr>
                <w:rFonts w:ascii="Source Sans Pro" w:eastAsia="Source Sans Pro" w:hAnsi="Source Sans Pro" w:cs="Times New Roman"/>
              </w:rPr>
              <w:t xml:space="preserve"> as possible </w:t>
            </w:r>
            <w:r w:rsidR="008400E1">
              <w:rPr>
                <w:rFonts w:ascii="Source Sans Pro" w:eastAsia="Source Sans Pro" w:hAnsi="Source Sans Pro" w:cs="Times New Roman"/>
              </w:rPr>
              <w:t>that are currently not included in Table 2 to minimize e</w:t>
            </w:r>
            <w:r w:rsidR="004446E9">
              <w:rPr>
                <w:rFonts w:ascii="Source Sans Pro" w:eastAsia="Source Sans Pro" w:hAnsi="Source Sans Pro" w:cs="Times New Roman"/>
              </w:rPr>
              <w:t xml:space="preserve">xception approval from </w:t>
            </w:r>
            <w:r w:rsidR="007B2461">
              <w:rPr>
                <w:rFonts w:ascii="Source Sans Pro" w:eastAsia="Source Sans Pro" w:hAnsi="Source Sans Pro" w:cs="Times New Roman"/>
              </w:rPr>
              <w:t xml:space="preserve">the </w:t>
            </w:r>
            <w:r w:rsidR="004446E9">
              <w:rPr>
                <w:rFonts w:ascii="Source Sans Pro" w:eastAsia="Source Sans Pro" w:hAnsi="Source Sans Pro" w:cs="Times New Roman"/>
              </w:rPr>
              <w:t xml:space="preserve">CEO. This </w:t>
            </w:r>
            <w:r w:rsidR="004446E9">
              <w:rPr>
                <w:rFonts w:ascii="Source Sans Pro" w:eastAsia="Source Sans Pro" w:hAnsi="Source Sans Pro" w:cs="Times New Roman"/>
              </w:rPr>
              <w:lastRenderedPageBreak/>
              <w:t xml:space="preserve">will ensure an efficient and effective </w:t>
            </w:r>
            <w:r w:rsidR="00287007">
              <w:rPr>
                <w:rFonts w:ascii="Source Sans Pro" w:eastAsia="Source Sans Pro" w:hAnsi="Source Sans Pro" w:cs="Times New Roman"/>
              </w:rPr>
              <w:t xml:space="preserve">process for both FSRA and the sector. Guidance around </w:t>
            </w:r>
            <w:r w:rsidR="004E0B62">
              <w:rPr>
                <w:rFonts w:ascii="Source Sans Pro" w:eastAsia="Source Sans Pro" w:hAnsi="Source Sans Pro" w:cs="Times New Roman"/>
              </w:rPr>
              <w:t xml:space="preserve">decision making criteria and </w:t>
            </w:r>
            <w:r w:rsidR="00793063">
              <w:rPr>
                <w:rFonts w:ascii="Source Sans Pro" w:eastAsia="Source Sans Pro" w:hAnsi="Source Sans Pro" w:cs="Times New Roman"/>
              </w:rPr>
              <w:t xml:space="preserve">approval </w:t>
            </w:r>
            <w:r w:rsidR="00550456">
              <w:rPr>
                <w:rFonts w:ascii="Source Sans Pro" w:eastAsia="Source Sans Pro" w:hAnsi="Source Sans Pro" w:cs="Times New Roman"/>
              </w:rPr>
              <w:t xml:space="preserve">turnaround time is important </w:t>
            </w:r>
            <w:r w:rsidR="008B1F7E">
              <w:rPr>
                <w:rFonts w:ascii="Source Sans Pro" w:eastAsia="Source Sans Pro" w:hAnsi="Source Sans Pro" w:cs="Times New Roman"/>
              </w:rPr>
              <w:t xml:space="preserve">given </w:t>
            </w:r>
            <w:r w:rsidR="004E0B62">
              <w:rPr>
                <w:rFonts w:ascii="Source Sans Pro" w:eastAsia="Source Sans Pro" w:hAnsi="Source Sans Pro" w:cs="Times New Roman"/>
              </w:rPr>
              <w:t xml:space="preserve">the </w:t>
            </w:r>
            <w:r w:rsidR="0049436D">
              <w:rPr>
                <w:rFonts w:ascii="Source Sans Pro" w:eastAsia="Source Sans Pro" w:hAnsi="Source Sans Pro" w:cs="Times New Roman"/>
              </w:rPr>
              <w:t xml:space="preserve">competitive market landscape that may lead to </w:t>
            </w:r>
            <w:r w:rsidR="00676FE2">
              <w:rPr>
                <w:rFonts w:ascii="Source Sans Pro" w:eastAsia="Source Sans Pro" w:hAnsi="Source Sans Pro" w:cs="Times New Roman"/>
              </w:rPr>
              <w:t xml:space="preserve">a </w:t>
            </w:r>
            <w:r w:rsidR="00C9188A">
              <w:rPr>
                <w:rFonts w:ascii="Source Sans Pro" w:eastAsia="Source Sans Pro" w:hAnsi="Source Sans Pro" w:cs="Times New Roman"/>
              </w:rPr>
              <w:t xml:space="preserve">small </w:t>
            </w:r>
            <w:r w:rsidR="008B1F7E">
              <w:rPr>
                <w:rFonts w:ascii="Source Sans Pro" w:eastAsia="Source Sans Pro" w:hAnsi="Source Sans Pro" w:cs="Times New Roman"/>
              </w:rPr>
              <w:t xml:space="preserve">window of opportunity </w:t>
            </w:r>
            <w:r w:rsidR="00F06E60">
              <w:rPr>
                <w:rFonts w:ascii="Source Sans Pro" w:eastAsia="Source Sans Pro" w:hAnsi="Source Sans Pro" w:cs="Times New Roman"/>
              </w:rPr>
              <w:t>available for Credit Unions to make investment decisions</w:t>
            </w:r>
            <w:r w:rsidR="0049436D">
              <w:rPr>
                <w:rFonts w:ascii="Source Sans Pro" w:eastAsia="Source Sans Pro" w:hAnsi="Source Sans Pro" w:cs="Times New Roman"/>
              </w:rPr>
              <w:t>.</w:t>
            </w:r>
          </w:p>
          <w:p w14:paraId="27E103E0" w14:textId="77777777" w:rsidR="007F7C42" w:rsidRDefault="007F7C42" w:rsidP="007F7C42">
            <w:pPr>
              <w:rPr>
                <w:rFonts w:ascii="Source Sans Pro" w:eastAsia="Source Sans Pro" w:hAnsi="Source Sans Pro" w:cs="Times New Roman"/>
              </w:rPr>
            </w:pPr>
          </w:p>
          <w:p w14:paraId="7E5E7F4A" w14:textId="77777777" w:rsidR="007F7C42" w:rsidRPr="007226E6" w:rsidRDefault="007F7C42" w:rsidP="007F7C42">
            <w:pPr>
              <w:rPr>
                <w:rFonts w:ascii="Source Sans Pro" w:eastAsia="Source Sans Pro" w:hAnsi="Source Sans Pro" w:cs="Times New Roman"/>
                <w:b/>
                <w:bCs/>
              </w:rPr>
            </w:pPr>
            <w:r w:rsidRPr="007226E6">
              <w:rPr>
                <w:rFonts w:ascii="Source Sans Pro" w:eastAsia="Source Sans Pro" w:hAnsi="Source Sans Pro" w:cs="Times New Roman"/>
                <w:b/>
                <w:bCs/>
              </w:rPr>
              <w:t>Unintended Consequences and Impact</w:t>
            </w:r>
          </w:p>
          <w:p w14:paraId="0A462EB3" w14:textId="1692B710" w:rsidR="007F7C42" w:rsidRDefault="00935DC0" w:rsidP="00935DC0">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This is an area where close alignment with OSFI in terms of risk weighting and guidance is important to ensure </w:t>
            </w:r>
            <w:r w:rsidR="0044770F">
              <w:rPr>
                <w:rFonts w:ascii="Source Sans Pro" w:eastAsia="Source Sans Pro" w:hAnsi="Source Sans Pro" w:cs="Times New Roman"/>
              </w:rPr>
              <w:t xml:space="preserve">a level playing field for </w:t>
            </w:r>
            <w:r>
              <w:rPr>
                <w:rFonts w:ascii="Source Sans Pro" w:eastAsia="Source Sans Pro" w:hAnsi="Source Sans Pro" w:cs="Times New Roman"/>
              </w:rPr>
              <w:t>Credit Unions</w:t>
            </w:r>
            <w:r w:rsidR="0044770F">
              <w:rPr>
                <w:rFonts w:ascii="Source Sans Pro" w:eastAsia="Source Sans Pro" w:hAnsi="Source Sans Pro" w:cs="Times New Roman"/>
              </w:rPr>
              <w:t>.</w:t>
            </w:r>
            <w:r w:rsidR="00165898">
              <w:rPr>
                <w:rFonts w:ascii="Source Sans Pro" w:eastAsia="Source Sans Pro" w:hAnsi="Source Sans Pro" w:cs="Times New Roman"/>
              </w:rPr>
              <w:t xml:space="preserve">  Misalignment with federal guidance creates additional pricing pressures or inappropriate arbitrage between federal and provincial </w:t>
            </w:r>
            <w:r w:rsidR="00A53A8E">
              <w:rPr>
                <w:rFonts w:ascii="Source Sans Pro" w:eastAsia="Source Sans Pro" w:hAnsi="Source Sans Pro" w:cs="Times New Roman"/>
              </w:rPr>
              <w:t xml:space="preserve">financial </w:t>
            </w:r>
            <w:r w:rsidR="00F83A1A">
              <w:rPr>
                <w:rFonts w:ascii="Source Sans Pro" w:eastAsia="Source Sans Pro" w:hAnsi="Source Sans Pro" w:cs="Times New Roman"/>
              </w:rPr>
              <w:t>institutions</w:t>
            </w:r>
            <w:r w:rsidR="00165898">
              <w:rPr>
                <w:rFonts w:ascii="Source Sans Pro" w:eastAsia="Source Sans Pro" w:hAnsi="Source Sans Pro" w:cs="Times New Roman"/>
              </w:rPr>
              <w:t>.</w:t>
            </w:r>
          </w:p>
          <w:p w14:paraId="417A4366" w14:textId="77777777" w:rsidR="00EF2DF0" w:rsidRDefault="004D57C2" w:rsidP="00935DC0">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We wish to further elaborate on our recommendation of 100% risk weighting for investments in Central 1. </w:t>
            </w:r>
          </w:p>
          <w:p w14:paraId="0A7866A4" w14:textId="7DFE44D6" w:rsidR="00793B26" w:rsidRPr="007F7C42" w:rsidRDefault="00F94374" w:rsidP="00EF2DF0">
            <w:pPr>
              <w:pStyle w:val="ListParagraph"/>
              <w:numPr>
                <w:ilvl w:val="1"/>
                <w:numId w:val="9"/>
              </w:numPr>
              <w:rPr>
                <w:rFonts w:ascii="Source Sans Pro" w:eastAsia="Source Sans Pro" w:hAnsi="Source Sans Pro" w:cs="Times New Roman"/>
              </w:rPr>
            </w:pPr>
            <w:r>
              <w:rPr>
                <w:rFonts w:ascii="Source Sans Pro" w:eastAsia="Source Sans Pro" w:hAnsi="Source Sans Pro" w:cs="Times New Roman"/>
              </w:rPr>
              <w:t xml:space="preserve">Central 1 plays </w:t>
            </w:r>
            <w:r w:rsidR="000E3AF5">
              <w:rPr>
                <w:rFonts w:ascii="Source Sans Pro" w:eastAsia="Source Sans Pro" w:hAnsi="Source Sans Pro" w:cs="Times New Roman"/>
              </w:rPr>
              <w:t xml:space="preserve">a critical and unique role </w:t>
            </w:r>
            <w:r>
              <w:rPr>
                <w:rFonts w:ascii="Source Sans Pro" w:eastAsia="Source Sans Pro" w:hAnsi="Source Sans Pro" w:cs="Times New Roman"/>
              </w:rPr>
              <w:t xml:space="preserve">within the Credit Union sector which includes </w:t>
            </w:r>
            <w:r w:rsidR="000E3AF5">
              <w:rPr>
                <w:rFonts w:ascii="Source Sans Pro" w:eastAsia="Source Sans Pro" w:hAnsi="Source Sans Pro" w:cs="Times New Roman"/>
              </w:rPr>
              <w:t xml:space="preserve">providing </w:t>
            </w:r>
            <w:r>
              <w:rPr>
                <w:rFonts w:ascii="Source Sans Pro" w:eastAsia="Source Sans Pro" w:hAnsi="Source Sans Pro" w:cs="Times New Roman"/>
              </w:rPr>
              <w:t>access to whole</w:t>
            </w:r>
            <w:r w:rsidR="000E3AF5">
              <w:rPr>
                <w:rFonts w:ascii="Source Sans Pro" w:eastAsia="Source Sans Pro" w:hAnsi="Source Sans Pro" w:cs="Times New Roman"/>
              </w:rPr>
              <w:t>sale</w:t>
            </w:r>
            <w:r>
              <w:rPr>
                <w:rFonts w:ascii="Source Sans Pro" w:eastAsia="Source Sans Pro" w:hAnsi="Source Sans Pro" w:cs="Times New Roman"/>
              </w:rPr>
              <w:t xml:space="preserve"> market funding</w:t>
            </w:r>
            <w:r w:rsidR="000E3AF5">
              <w:rPr>
                <w:rFonts w:ascii="Source Sans Pro" w:eastAsia="Source Sans Pro" w:hAnsi="Source Sans Pro" w:cs="Times New Roman"/>
              </w:rPr>
              <w:t xml:space="preserve">, facilitating clearing and settlement of payment </w:t>
            </w:r>
            <w:proofErr w:type="gramStart"/>
            <w:r w:rsidR="000E3AF5">
              <w:rPr>
                <w:rFonts w:ascii="Source Sans Pro" w:eastAsia="Source Sans Pro" w:hAnsi="Source Sans Pro" w:cs="Times New Roman"/>
              </w:rPr>
              <w:t>transactions</w:t>
            </w:r>
            <w:proofErr w:type="gramEnd"/>
            <w:r w:rsidR="000E3AF5">
              <w:rPr>
                <w:rFonts w:ascii="Source Sans Pro" w:eastAsia="Source Sans Pro" w:hAnsi="Source Sans Pro" w:cs="Times New Roman"/>
              </w:rPr>
              <w:t xml:space="preserve"> and leveraging economy of scale lacked by many </w:t>
            </w:r>
            <w:r w:rsidR="00C9188A">
              <w:rPr>
                <w:rFonts w:ascii="Source Sans Pro" w:eastAsia="Source Sans Pro" w:hAnsi="Source Sans Pro" w:cs="Times New Roman"/>
              </w:rPr>
              <w:t>C</w:t>
            </w:r>
            <w:r w:rsidR="000E3AF5">
              <w:rPr>
                <w:rFonts w:ascii="Source Sans Pro" w:eastAsia="Source Sans Pro" w:hAnsi="Source Sans Pro" w:cs="Times New Roman"/>
              </w:rPr>
              <w:t xml:space="preserve">redit </w:t>
            </w:r>
            <w:r w:rsidR="00C9188A">
              <w:rPr>
                <w:rFonts w:ascii="Source Sans Pro" w:eastAsia="Source Sans Pro" w:hAnsi="Source Sans Pro" w:cs="Times New Roman"/>
              </w:rPr>
              <w:t>U</w:t>
            </w:r>
            <w:r w:rsidR="000E3AF5">
              <w:rPr>
                <w:rFonts w:ascii="Source Sans Pro" w:eastAsia="Source Sans Pro" w:hAnsi="Source Sans Pro" w:cs="Times New Roman"/>
              </w:rPr>
              <w:t>nions</w:t>
            </w:r>
            <w:r>
              <w:rPr>
                <w:rFonts w:ascii="Source Sans Pro" w:eastAsia="Source Sans Pro" w:hAnsi="Source Sans Pro" w:cs="Times New Roman"/>
              </w:rPr>
              <w:t xml:space="preserve"> </w:t>
            </w:r>
            <w:r w:rsidR="000E3AF5">
              <w:rPr>
                <w:rFonts w:ascii="Source Sans Pro" w:eastAsia="Source Sans Pro" w:hAnsi="Source Sans Pro" w:cs="Times New Roman"/>
              </w:rPr>
              <w:t xml:space="preserve">to access products and services efficiently. Investments in Central 1 promote overall sector financial stability and resilience. A 1250% default risk weighting as per the Proposed Rule would not be in the best interest of the sector </w:t>
            </w:r>
            <w:r w:rsidR="00F14AB1">
              <w:rPr>
                <w:rFonts w:ascii="Source Sans Pro" w:eastAsia="Source Sans Pro" w:hAnsi="Source Sans Pro" w:cs="Times New Roman"/>
              </w:rPr>
              <w:t>in promoting a level playing field and fostering long-term sector growth.</w:t>
            </w:r>
          </w:p>
        </w:tc>
      </w:tr>
      <w:tr w:rsidR="007B50CC" w14:paraId="2C90BA48" w14:textId="77777777" w:rsidTr="00D336AA">
        <w:tc>
          <w:tcPr>
            <w:tcW w:w="1418" w:type="dxa"/>
          </w:tcPr>
          <w:p w14:paraId="369504C6" w14:textId="77777777" w:rsidR="007B50CC" w:rsidRDefault="007B50CC" w:rsidP="004F6E7B">
            <w:pPr>
              <w:rPr>
                <w:rFonts w:ascii="Source Sans Pro" w:eastAsia="Source Sans Pro" w:hAnsi="Source Sans Pro" w:cs="Times New Roman"/>
              </w:rPr>
            </w:pPr>
            <w:r>
              <w:rPr>
                <w:rFonts w:ascii="Source Sans Pro" w:eastAsia="Source Sans Pro" w:hAnsi="Source Sans Pro" w:cs="Times New Roman"/>
              </w:rPr>
              <w:lastRenderedPageBreak/>
              <w:t>Table 2(</w:t>
            </w:r>
            <w:proofErr w:type="spellStart"/>
            <w:r>
              <w:rPr>
                <w:rFonts w:ascii="Source Sans Pro" w:eastAsia="Source Sans Pro" w:hAnsi="Source Sans Pro" w:cs="Times New Roman"/>
              </w:rPr>
              <w:t>vv</w:t>
            </w:r>
            <w:proofErr w:type="spellEnd"/>
            <w:r>
              <w:rPr>
                <w:rFonts w:ascii="Source Sans Pro" w:eastAsia="Source Sans Pro" w:hAnsi="Source Sans Pro" w:cs="Times New Roman"/>
              </w:rPr>
              <w:t>)</w:t>
            </w:r>
          </w:p>
        </w:tc>
        <w:tc>
          <w:tcPr>
            <w:tcW w:w="10348" w:type="dxa"/>
          </w:tcPr>
          <w:p w14:paraId="0DE500F7" w14:textId="77777777" w:rsidR="00984516" w:rsidRPr="00984516" w:rsidRDefault="00984516" w:rsidP="00984516">
            <w:pPr>
              <w:rPr>
                <w:rFonts w:ascii="Source Sans Pro" w:eastAsia="Source Sans Pro" w:hAnsi="Source Sans Pro" w:cs="Times New Roman"/>
                <w:b/>
                <w:bCs/>
              </w:rPr>
            </w:pPr>
            <w:r>
              <w:rPr>
                <w:rFonts w:ascii="Source Sans Pro" w:eastAsia="Source Sans Pro" w:hAnsi="Source Sans Pro" w:cs="Times New Roman"/>
                <w:b/>
                <w:bCs/>
              </w:rPr>
              <w:t>Commentary</w:t>
            </w:r>
          </w:p>
          <w:p w14:paraId="2562BFD3" w14:textId="1EA3C93E" w:rsidR="00984516" w:rsidRPr="00984516" w:rsidRDefault="00984516" w:rsidP="00984516">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Table 2(</w:t>
            </w:r>
            <w:proofErr w:type="spellStart"/>
            <w:r>
              <w:rPr>
                <w:rFonts w:ascii="Source Sans Pro" w:eastAsia="Source Sans Pro" w:hAnsi="Source Sans Pro" w:cs="Times New Roman"/>
              </w:rPr>
              <w:t>vv</w:t>
            </w:r>
            <w:proofErr w:type="spellEnd"/>
            <w:r>
              <w:rPr>
                <w:rFonts w:ascii="Source Sans Pro" w:eastAsia="Source Sans Pro" w:hAnsi="Source Sans Pro" w:cs="Times New Roman"/>
              </w:rPr>
              <w:t xml:space="preserve">) states “financial technology investments and local community investments up to an aggregate maximum of 1% of the </w:t>
            </w:r>
            <w:r w:rsidR="00E02E24">
              <w:rPr>
                <w:rFonts w:ascii="Source Sans Pro" w:eastAsia="Source Sans Pro" w:hAnsi="Source Sans Pro" w:cs="Times New Roman"/>
              </w:rPr>
              <w:t>C</w:t>
            </w:r>
            <w:r>
              <w:rPr>
                <w:rFonts w:ascii="Source Sans Pro" w:eastAsia="Source Sans Pro" w:hAnsi="Source Sans Pro" w:cs="Times New Roman"/>
              </w:rPr>
              <w:t xml:space="preserve">redit </w:t>
            </w:r>
            <w:r w:rsidR="00E02E24">
              <w:rPr>
                <w:rFonts w:ascii="Source Sans Pro" w:eastAsia="Source Sans Pro" w:hAnsi="Source Sans Pro" w:cs="Times New Roman"/>
              </w:rPr>
              <w:t>U</w:t>
            </w:r>
            <w:r>
              <w:rPr>
                <w:rFonts w:ascii="Source Sans Pro" w:eastAsia="Source Sans Pro" w:hAnsi="Source Sans Pro" w:cs="Times New Roman"/>
              </w:rPr>
              <w:t xml:space="preserve">nion’s capital in the </w:t>
            </w:r>
            <w:r w:rsidR="00E02E24">
              <w:rPr>
                <w:rFonts w:ascii="Source Sans Pro" w:eastAsia="Source Sans Pro" w:hAnsi="Source Sans Pro" w:cs="Times New Roman"/>
              </w:rPr>
              <w:t>C</w:t>
            </w:r>
            <w:r>
              <w:rPr>
                <w:rFonts w:ascii="Source Sans Pro" w:eastAsia="Source Sans Pro" w:hAnsi="Source Sans Pro" w:cs="Times New Roman"/>
              </w:rPr>
              <w:t xml:space="preserve">redit </w:t>
            </w:r>
            <w:r w:rsidR="00E02E24">
              <w:rPr>
                <w:rFonts w:ascii="Source Sans Pro" w:eastAsia="Source Sans Pro" w:hAnsi="Source Sans Pro" w:cs="Times New Roman"/>
              </w:rPr>
              <w:t>U</w:t>
            </w:r>
            <w:r>
              <w:rPr>
                <w:rFonts w:ascii="Source Sans Pro" w:eastAsia="Source Sans Pro" w:hAnsi="Source Sans Pro" w:cs="Times New Roman"/>
              </w:rPr>
              <w:t xml:space="preserve">nion’s financial statements” receive 100% risk weighting with amounts </w:t>
            </w:r>
            <w:proofErr w:type="gramStart"/>
            <w:r>
              <w:rPr>
                <w:rFonts w:ascii="Source Sans Pro" w:eastAsia="Source Sans Pro" w:hAnsi="Source Sans Pro" w:cs="Times New Roman"/>
              </w:rPr>
              <w:t>in excess of</w:t>
            </w:r>
            <w:proofErr w:type="gramEnd"/>
            <w:r>
              <w:rPr>
                <w:rFonts w:ascii="Source Sans Pro" w:eastAsia="Source Sans Pro" w:hAnsi="Source Sans Pro" w:cs="Times New Roman"/>
              </w:rPr>
              <w:t xml:space="preserve"> 1% defaulting to 1250%</w:t>
            </w:r>
            <w:r w:rsidR="00FB47E9">
              <w:rPr>
                <w:rFonts w:ascii="Source Sans Pro" w:eastAsia="Source Sans Pro" w:hAnsi="Source Sans Pro" w:cs="Times New Roman"/>
              </w:rPr>
              <w:t>.</w:t>
            </w:r>
          </w:p>
          <w:p w14:paraId="5865CF0D" w14:textId="77777777" w:rsidR="00984516" w:rsidRPr="00C85685" w:rsidRDefault="00FB47E9" w:rsidP="000637A1">
            <w:pPr>
              <w:pStyle w:val="ListParagraph"/>
              <w:numPr>
                <w:ilvl w:val="0"/>
                <w:numId w:val="49"/>
              </w:numPr>
              <w:rPr>
                <w:rFonts w:ascii="Source Sans Pro" w:eastAsia="Source Sans Pro" w:hAnsi="Source Sans Pro" w:cs="Times New Roman"/>
              </w:rPr>
            </w:pPr>
            <w:r>
              <w:rPr>
                <w:rFonts w:ascii="Source Sans Pro" w:eastAsia="Source Sans Pro" w:hAnsi="Source Sans Pro" w:cs="Times New Roman"/>
              </w:rPr>
              <w:t xml:space="preserve">The </w:t>
            </w:r>
            <w:r w:rsidR="00984516" w:rsidRPr="00C85685">
              <w:rPr>
                <w:rFonts w:ascii="Source Sans Pro" w:eastAsia="Source Sans Pro" w:hAnsi="Source Sans Pro" w:cs="Times New Roman"/>
              </w:rPr>
              <w:t xml:space="preserve">Credit Union sector will increasingly rely on partnership and investments in Fintech to analyze, assess and access certain technologies that can help us remain competitive by offering innovative products and services to members and driving </w:t>
            </w:r>
            <w:r>
              <w:rPr>
                <w:rFonts w:ascii="Source Sans Pro" w:eastAsia="Source Sans Pro" w:hAnsi="Source Sans Pro" w:cs="Times New Roman"/>
              </w:rPr>
              <w:t>operational</w:t>
            </w:r>
            <w:r w:rsidR="00984516" w:rsidRPr="00C85685">
              <w:rPr>
                <w:rFonts w:ascii="Source Sans Pro" w:eastAsia="Source Sans Pro" w:hAnsi="Source Sans Pro" w:cs="Times New Roman"/>
              </w:rPr>
              <w:t xml:space="preserve"> efficiencies. This is especially important given the advent of open banking, payment network modernization and consumer trend and preference towards digital and online offerings. </w:t>
            </w:r>
          </w:p>
          <w:p w14:paraId="54C517EA" w14:textId="4EE224BB" w:rsidR="00984516" w:rsidRDefault="00984516" w:rsidP="00984516">
            <w:pPr>
              <w:pStyle w:val="ListParagraph"/>
              <w:numPr>
                <w:ilvl w:val="0"/>
                <w:numId w:val="49"/>
              </w:numPr>
              <w:rPr>
                <w:rFonts w:ascii="Source Sans Pro" w:eastAsia="Source Sans Pro" w:hAnsi="Source Sans Pro" w:cs="Times New Roman"/>
              </w:rPr>
            </w:pPr>
            <w:r w:rsidRPr="00984516">
              <w:rPr>
                <w:rFonts w:ascii="Source Sans Pro" w:eastAsia="Source Sans Pro" w:hAnsi="Source Sans Pro" w:cs="Times New Roman"/>
              </w:rPr>
              <w:t xml:space="preserve">Most Credit Unions do not </w:t>
            </w:r>
            <w:r w:rsidR="00D93D78">
              <w:rPr>
                <w:rFonts w:ascii="Source Sans Pro" w:eastAsia="Source Sans Pro" w:hAnsi="Source Sans Pro" w:cs="Times New Roman"/>
              </w:rPr>
              <w:t xml:space="preserve">currently have </w:t>
            </w:r>
            <w:r w:rsidRPr="00984516">
              <w:rPr>
                <w:rFonts w:ascii="Source Sans Pro" w:eastAsia="Source Sans Pro" w:hAnsi="Source Sans Pro" w:cs="Times New Roman"/>
              </w:rPr>
              <w:t>individual resources and capabilities to invest directly in these areas due to lack of econom</w:t>
            </w:r>
            <w:r w:rsidR="00374E2D">
              <w:rPr>
                <w:rFonts w:ascii="Source Sans Pro" w:eastAsia="Source Sans Pro" w:hAnsi="Source Sans Pro" w:cs="Times New Roman"/>
              </w:rPr>
              <w:t xml:space="preserve">ies of </w:t>
            </w:r>
            <w:r w:rsidRPr="00984516">
              <w:rPr>
                <w:rFonts w:ascii="Source Sans Pro" w:eastAsia="Source Sans Pro" w:hAnsi="Source Sans Pro" w:cs="Times New Roman"/>
              </w:rPr>
              <w:t xml:space="preserve">scale </w:t>
            </w:r>
            <w:r w:rsidR="00B35901">
              <w:rPr>
                <w:rFonts w:ascii="Source Sans Pro" w:eastAsia="Source Sans Pro" w:hAnsi="Source Sans Pro" w:cs="Times New Roman"/>
              </w:rPr>
              <w:t>thus</w:t>
            </w:r>
            <w:r w:rsidRPr="00984516">
              <w:rPr>
                <w:rFonts w:ascii="Source Sans Pro" w:eastAsia="Source Sans Pro" w:hAnsi="Source Sans Pro" w:cs="Times New Roman"/>
              </w:rPr>
              <w:t xml:space="preserve"> mak</w:t>
            </w:r>
            <w:r w:rsidR="008257BC">
              <w:rPr>
                <w:rFonts w:ascii="Source Sans Pro" w:eastAsia="Source Sans Pro" w:hAnsi="Source Sans Pro" w:cs="Times New Roman"/>
              </w:rPr>
              <w:t>ing</w:t>
            </w:r>
            <w:r w:rsidRPr="00984516">
              <w:rPr>
                <w:rFonts w:ascii="Source Sans Pro" w:eastAsia="Source Sans Pro" w:hAnsi="Source Sans Pro" w:cs="Times New Roman"/>
              </w:rPr>
              <w:t xml:space="preserve"> investments in Fintech a viable and economic</w:t>
            </w:r>
            <w:r w:rsidR="00B35901">
              <w:rPr>
                <w:rFonts w:ascii="Source Sans Pro" w:eastAsia="Source Sans Pro" w:hAnsi="Source Sans Pro" w:cs="Times New Roman"/>
              </w:rPr>
              <w:t>al</w:t>
            </w:r>
            <w:r w:rsidRPr="00984516">
              <w:rPr>
                <w:rFonts w:ascii="Source Sans Pro" w:eastAsia="Source Sans Pro" w:hAnsi="Source Sans Pro" w:cs="Times New Roman"/>
              </w:rPr>
              <w:t xml:space="preserve"> alternative. </w:t>
            </w:r>
          </w:p>
          <w:p w14:paraId="28333EF5" w14:textId="28E0DF41" w:rsidR="00095FD4" w:rsidRPr="00984516" w:rsidRDefault="00095FD4" w:rsidP="00984516">
            <w:pPr>
              <w:pStyle w:val="ListParagraph"/>
              <w:numPr>
                <w:ilvl w:val="0"/>
                <w:numId w:val="49"/>
              </w:numPr>
              <w:rPr>
                <w:rFonts w:ascii="Source Sans Pro" w:eastAsia="Source Sans Pro" w:hAnsi="Source Sans Pro" w:cs="Times New Roman"/>
              </w:rPr>
            </w:pPr>
            <w:r>
              <w:rPr>
                <w:rFonts w:ascii="Source Sans Pro" w:eastAsia="Source Sans Pro" w:hAnsi="Source Sans Pro" w:cs="Times New Roman"/>
              </w:rPr>
              <w:t xml:space="preserve">Many </w:t>
            </w:r>
            <w:r w:rsidR="00E36AF1">
              <w:rPr>
                <w:rFonts w:ascii="Source Sans Pro" w:eastAsia="Source Sans Pro" w:hAnsi="Source Sans Pro" w:cs="Times New Roman"/>
              </w:rPr>
              <w:t>C</w:t>
            </w:r>
            <w:r>
              <w:rPr>
                <w:rFonts w:ascii="Source Sans Pro" w:eastAsia="Source Sans Pro" w:hAnsi="Source Sans Pro" w:cs="Times New Roman"/>
              </w:rPr>
              <w:t xml:space="preserve">redit </w:t>
            </w:r>
            <w:r w:rsidR="00E36AF1">
              <w:rPr>
                <w:rFonts w:ascii="Source Sans Pro" w:eastAsia="Source Sans Pro" w:hAnsi="Source Sans Pro" w:cs="Times New Roman"/>
              </w:rPr>
              <w:t>U</w:t>
            </w:r>
            <w:r>
              <w:rPr>
                <w:rFonts w:ascii="Source Sans Pro" w:eastAsia="Source Sans Pro" w:hAnsi="Source Sans Pro" w:cs="Times New Roman"/>
              </w:rPr>
              <w:t>nions also make socially oriented investments in support of their communities.  Examples include specific ownership in real estate projects, investing in building naming rights, or supporting non-profit organizations.</w:t>
            </w:r>
          </w:p>
          <w:p w14:paraId="25899ACC" w14:textId="1859CAFD" w:rsidR="00FE477D" w:rsidRDefault="00984516" w:rsidP="00984516">
            <w:pPr>
              <w:pStyle w:val="ListParagraph"/>
              <w:numPr>
                <w:ilvl w:val="0"/>
                <w:numId w:val="49"/>
              </w:numPr>
              <w:rPr>
                <w:rFonts w:ascii="Source Sans Pro" w:eastAsia="Source Sans Pro" w:hAnsi="Source Sans Pro" w:cs="Times New Roman"/>
              </w:rPr>
            </w:pPr>
            <w:r w:rsidRPr="00984516">
              <w:rPr>
                <w:rFonts w:ascii="Source Sans Pro" w:eastAsia="Source Sans Pro" w:hAnsi="Source Sans Pro" w:cs="Times New Roman"/>
              </w:rPr>
              <w:t xml:space="preserve">A 1% capital limit, </w:t>
            </w:r>
            <w:r w:rsidR="008257BC">
              <w:rPr>
                <w:rFonts w:ascii="Source Sans Pro" w:eastAsia="Source Sans Pro" w:hAnsi="Source Sans Pro" w:cs="Times New Roman"/>
              </w:rPr>
              <w:t>shared</w:t>
            </w:r>
            <w:r w:rsidRPr="00984516">
              <w:rPr>
                <w:rFonts w:ascii="Source Sans Pro" w:eastAsia="Source Sans Pro" w:hAnsi="Source Sans Pro" w:cs="Times New Roman"/>
              </w:rPr>
              <w:t xml:space="preserve"> </w:t>
            </w:r>
            <w:r w:rsidR="00C9188A">
              <w:rPr>
                <w:rFonts w:ascii="Source Sans Pro" w:eastAsia="Source Sans Pro" w:hAnsi="Source Sans Pro" w:cs="Times New Roman"/>
              </w:rPr>
              <w:t>between Fintech and</w:t>
            </w:r>
            <w:r w:rsidRPr="00984516">
              <w:rPr>
                <w:rFonts w:ascii="Source Sans Pro" w:eastAsia="Source Sans Pro" w:hAnsi="Source Sans Pro" w:cs="Times New Roman"/>
              </w:rPr>
              <w:t xml:space="preserve"> local community investments is too restrictive. </w:t>
            </w:r>
            <w:r w:rsidR="0025778F">
              <w:rPr>
                <w:rFonts w:ascii="Source Sans Pro" w:eastAsia="Source Sans Pro" w:hAnsi="Source Sans Pro" w:cs="Times New Roman"/>
              </w:rPr>
              <w:t xml:space="preserve">In addition, </w:t>
            </w:r>
            <w:r w:rsidR="00D14F82">
              <w:rPr>
                <w:rFonts w:ascii="Source Sans Pro" w:eastAsia="Source Sans Pro" w:hAnsi="Source Sans Pro" w:cs="Times New Roman"/>
              </w:rPr>
              <w:t xml:space="preserve">the low limit </w:t>
            </w:r>
            <w:r w:rsidR="003D7DED">
              <w:rPr>
                <w:rFonts w:ascii="Source Sans Pro" w:eastAsia="Source Sans Pro" w:hAnsi="Source Sans Pro" w:cs="Times New Roman"/>
              </w:rPr>
              <w:t xml:space="preserve">means subsequent increase in fair value of these investments </w:t>
            </w:r>
            <w:r w:rsidR="00327489">
              <w:rPr>
                <w:rFonts w:ascii="Source Sans Pro" w:eastAsia="Source Sans Pro" w:hAnsi="Source Sans Pro" w:cs="Times New Roman"/>
              </w:rPr>
              <w:t>(e.g.</w:t>
            </w:r>
            <w:r w:rsidR="00766EA6">
              <w:rPr>
                <w:rFonts w:ascii="Source Sans Pro" w:eastAsia="Source Sans Pro" w:hAnsi="Source Sans Pro" w:cs="Times New Roman"/>
              </w:rPr>
              <w:t>,</w:t>
            </w:r>
            <w:r w:rsidR="00327489">
              <w:rPr>
                <w:rFonts w:ascii="Source Sans Pro" w:eastAsia="Source Sans Pro" w:hAnsi="Source Sans Pro" w:cs="Times New Roman"/>
              </w:rPr>
              <w:t xml:space="preserve"> mark to market gains) </w:t>
            </w:r>
            <w:r w:rsidR="0094202A">
              <w:rPr>
                <w:rFonts w:ascii="Source Sans Pro" w:eastAsia="Source Sans Pro" w:hAnsi="Source Sans Pro" w:cs="Times New Roman"/>
              </w:rPr>
              <w:t xml:space="preserve">beyond the limit will </w:t>
            </w:r>
            <w:r w:rsidR="00327489">
              <w:rPr>
                <w:rFonts w:ascii="Source Sans Pro" w:eastAsia="Source Sans Pro" w:hAnsi="Source Sans Pro" w:cs="Times New Roman"/>
              </w:rPr>
              <w:t>attract a punitive risk weight</w:t>
            </w:r>
            <w:r w:rsidR="00793063">
              <w:rPr>
                <w:rFonts w:ascii="Source Sans Pro" w:eastAsia="Source Sans Pro" w:hAnsi="Source Sans Pro" w:cs="Times New Roman"/>
              </w:rPr>
              <w:t>ing</w:t>
            </w:r>
            <w:r w:rsidR="00327489">
              <w:rPr>
                <w:rFonts w:ascii="Source Sans Pro" w:eastAsia="Source Sans Pro" w:hAnsi="Source Sans Pro" w:cs="Times New Roman"/>
              </w:rPr>
              <w:t xml:space="preserve"> of 1250%</w:t>
            </w:r>
            <w:r w:rsidR="00CD58FA">
              <w:rPr>
                <w:rFonts w:ascii="Source Sans Pro" w:eastAsia="Source Sans Pro" w:hAnsi="Source Sans Pro" w:cs="Times New Roman"/>
              </w:rPr>
              <w:t>.</w:t>
            </w:r>
          </w:p>
          <w:p w14:paraId="5102F367" w14:textId="5FDF5C23" w:rsidR="00984516" w:rsidRPr="00984516" w:rsidRDefault="00984516" w:rsidP="00984516">
            <w:pPr>
              <w:pStyle w:val="ListParagraph"/>
              <w:numPr>
                <w:ilvl w:val="0"/>
                <w:numId w:val="49"/>
              </w:numPr>
              <w:rPr>
                <w:rFonts w:ascii="Source Sans Pro" w:eastAsia="Source Sans Pro" w:hAnsi="Source Sans Pro" w:cs="Times New Roman"/>
              </w:rPr>
            </w:pPr>
            <w:r w:rsidRPr="00984516">
              <w:rPr>
                <w:rFonts w:ascii="Source Sans Pro" w:eastAsia="Source Sans Pro" w:hAnsi="Source Sans Pro" w:cs="Times New Roman"/>
              </w:rPr>
              <w:t xml:space="preserve">We recommend separating Fintech investments from community investments and increasing the </w:t>
            </w:r>
            <w:r w:rsidR="007A77AD">
              <w:rPr>
                <w:rFonts w:ascii="Source Sans Pro" w:eastAsia="Source Sans Pro" w:hAnsi="Source Sans Pro" w:cs="Times New Roman"/>
              </w:rPr>
              <w:t xml:space="preserve">corresponding </w:t>
            </w:r>
            <w:r w:rsidRPr="00984516">
              <w:rPr>
                <w:rFonts w:ascii="Source Sans Pro" w:eastAsia="Source Sans Pro" w:hAnsi="Source Sans Pro" w:cs="Times New Roman"/>
              </w:rPr>
              <w:t xml:space="preserve">limit </w:t>
            </w:r>
            <w:r w:rsidR="003B74B9">
              <w:rPr>
                <w:rFonts w:ascii="Source Sans Pro" w:eastAsia="Source Sans Pro" w:hAnsi="Source Sans Pro" w:cs="Times New Roman"/>
              </w:rPr>
              <w:t xml:space="preserve">each </w:t>
            </w:r>
            <w:r w:rsidRPr="00984516">
              <w:rPr>
                <w:rFonts w:ascii="Source Sans Pro" w:eastAsia="Source Sans Pro" w:hAnsi="Source Sans Pro" w:cs="Times New Roman"/>
              </w:rPr>
              <w:t xml:space="preserve">to </w:t>
            </w:r>
            <w:r w:rsidRPr="003B74B9">
              <w:rPr>
                <w:rFonts w:ascii="Source Sans Pro" w:eastAsia="Source Sans Pro" w:hAnsi="Source Sans Pro" w:cs="Times New Roman"/>
              </w:rPr>
              <w:t>5%</w:t>
            </w:r>
            <w:r w:rsidRPr="00984516">
              <w:rPr>
                <w:rFonts w:ascii="Source Sans Pro" w:eastAsia="Source Sans Pro" w:hAnsi="Source Sans Pro" w:cs="Times New Roman"/>
              </w:rPr>
              <w:t xml:space="preserve"> of capital. </w:t>
            </w:r>
            <w:r w:rsidR="00CD58FA">
              <w:rPr>
                <w:rFonts w:ascii="Source Sans Pro" w:eastAsia="Source Sans Pro" w:hAnsi="Source Sans Pro" w:cs="Times New Roman"/>
              </w:rPr>
              <w:t xml:space="preserve">We also recommend additional wording to be added </w:t>
            </w:r>
            <w:r w:rsidR="00BF0FF9">
              <w:rPr>
                <w:rFonts w:ascii="Source Sans Pro" w:eastAsia="Source Sans Pro" w:hAnsi="Source Sans Pro" w:cs="Times New Roman"/>
              </w:rPr>
              <w:t xml:space="preserve">to clarify any ownership requirements of investments that fall into this category. For example, </w:t>
            </w:r>
            <w:r w:rsidR="00C120E4">
              <w:rPr>
                <w:rFonts w:ascii="Source Sans Pro" w:eastAsia="Source Sans Pro" w:hAnsi="Source Sans Pro" w:cs="Times New Roman"/>
              </w:rPr>
              <w:t xml:space="preserve">does this category include </w:t>
            </w:r>
            <w:r w:rsidR="00477510">
              <w:rPr>
                <w:rFonts w:ascii="Source Sans Pro" w:eastAsia="Source Sans Pro" w:hAnsi="Source Sans Pro" w:cs="Times New Roman"/>
              </w:rPr>
              <w:t>both significant and non-significant investments</w:t>
            </w:r>
            <w:r w:rsidR="00134204">
              <w:rPr>
                <w:rFonts w:ascii="Source Sans Pro" w:eastAsia="Source Sans Pro" w:hAnsi="Source Sans Pro" w:cs="Times New Roman"/>
              </w:rPr>
              <w:t xml:space="preserve">, joint </w:t>
            </w:r>
            <w:proofErr w:type="gramStart"/>
            <w:r w:rsidR="00134204">
              <w:rPr>
                <w:rFonts w:ascii="Source Sans Pro" w:eastAsia="Source Sans Pro" w:hAnsi="Source Sans Pro" w:cs="Times New Roman"/>
              </w:rPr>
              <w:t>venture</w:t>
            </w:r>
            <w:proofErr w:type="gramEnd"/>
            <w:r w:rsidR="00134204">
              <w:rPr>
                <w:rFonts w:ascii="Source Sans Pro" w:eastAsia="Source Sans Pro" w:hAnsi="Source Sans Pro" w:cs="Times New Roman"/>
              </w:rPr>
              <w:t xml:space="preserve"> </w:t>
            </w:r>
            <w:r w:rsidR="00C9188A">
              <w:rPr>
                <w:rFonts w:ascii="Source Sans Pro" w:eastAsia="Source Sans Pro" w:hAnsi="Source Sans Pro" w:cs="Times New Roman"/>
              </w:rPr>
              <w:t>and</w:t>
            </w:r>
            <w:r w:rsidR="00134204">
              <w:rPr>
                <w:rFonts w:ascii="Source Sans Pro" w:eastAsia="Source Sans Pro" w:hAnsi="Source Sans Pro" w:cs="Times New Roman"/>
              </w:rPr>
              <w:t xml:space="preserve"> </w:t>
            </w:r>
            <w:r w:rsidR="00535C02">
              <w:rPr>
                <w:rFonts w:ascii="Source Sans Pro" w:eastAsia="Source Sans Pro" w:hAnsi="Source Sans Pro" w:cs="Times New Roman"/>
              </w:rPr>
              <w:t xml:space="preserve">majority </w:t>
            </w:r>
            <w:r w:rsidR="00134204">
              <w:rPr>
                <w:rFonts w:ascii="Source Sans Pro" w:eastAsia="Source Sans Pro" w:hAnsi="Source Sans Pro" w:cs="Times New Roman"/>
              </w:rPr>
              <w:t>ownership</w:t>
            </w:r>
            <w:r w:rsidR="00C55946">
              <w:rPr>
                <w:rFonts w:ascii="Source Sans Pro" w:eastAsia="Source Sans Pro" w:hAnsi="Source Sans Pro" w:cs="Times New Roman"/>
              </w:rPr>
              <w:t>.</w:t>
            </w:r>
            <w:r w:rsidR="00477510">
              <w:rPr>
                <w:rFonts w:ascii="Source Sans Pro" w:eastAsia="Source Sans Pro" w:hAnsi="Source Sans Pro" w:cs="Times New Roman"/>
              </w:rPr>
              <w:t xml:space="preserve"> </w:t>
            </w:r>
          </w:p>
          <w:p w14:paraId="79408B4F" w14:textId="77777777" w:rsidR="00984516" w:rsidRDefault="00984516" w:rsidP="00984516">
            <w:pPr>
              <w:rPr>
                <w:rFonts w:ascii="Source Sans Pro" w:eastAsia="Source Sans Pro" w:hAnsi="Source Sans Pro" w:cs="Times New Roman"/>
                <w:b/>
                <w:bCs/>
              </w:rPr>
            </w:pPr>
          </w:p>
          <w:p w14:paraId="3C2D4E2F" w14:textId="77777777" w:rsidR="00984516" w:rsidRPr="00984516" w:rsidRDefault="00984516" w:rsidP="00984516">
            <w:pPr>
              <w:rPr>
                <w:rFonts w:ascii="Source Sans Pro" w:eastAsia="Source Sans Pro" w:hAnsi="Source Sans Pro" w:cs="Times New Roman"/>
                <w:b/>
                <w:bCs/>
              </w:rPr>
            </w:pPr>
            <w:r w:rsidRPr="00984516">
              <w:rPr>
                <w:rFonts w:ascii="Source Sans Pro" w:eastAsia="Source Sans Pro" w:hAnsi="Source Sans Pro" w:cs="Times New Roman"/>
                <w:b/>
                <w:bCs/>
              </w:rPr>
              <w:t>Unintended Consequences and Impact</w:t>
            </w:r>
          </w:p>
          <w:p w14:paraId="311D3DE9" w14:textId="59574694" w:rsidR="00984516" w:rsidRPr="00984516" w:rsidRDefault="00984516" w:rsidP="00984516">
            <w:pPr>
              <w:pStyle w:val="ListParagraph"/>
              <w:numPr>
                <w:ilvl w:val="0"/>
                <w:numId w:val="49"/>
              </w:numPr>
              <w:rPr>
                <w:rFonts w:ascii="Source Sans Pro" w:eastAsia="Source Sans Pro" w:hAnsi="Source Sans Pro" w:cs="Times New Roman"/>
              </w:rPr>
            </w:pPr>
            <w:r w:rsidRPr="00984516">
              <w:rPr>
                <w:rFonts w:ascii="Source Sans Pro" w:eastAsia="Source Sans Pro" w:hAnsi="Source Sans Pro" w:cs="Times New Roman"/>
              </w:rPr>
              <w:t xml:space="preserve">Applying a 1250% capital treatment to portions of fintech investments exceeding 1% is too punitive and will severely restrict our ability to compete competitively with larger provincial and federal </w:t>
            </w:r>
            <w:r w:rsidR="00C9188A">
              <w:rPr>
                <w:rFonts w:ascii="Source Sans Pro" w:eastAsia="Source Sans Pro" w:hAnsi="Source Sans Pro" w:cs="Times New Roman"/>
              </w:rPr>
              <w:t>financial institutions</w:t>
            </w:r>
            <w:r w:rsidR="007A77AD">
              <w:rPr>
                <w:rFonts w:ascii="Source Sans Pro" w:eastAsia="Source Sans Pro" w:hAnsi="Source Sans Pro" w:cs="Times New Roman"/>
              </w:rPr>
              <w:t>.</w:t>
            </w:r>
          </w:p>
          <w:p w14:paraId="6797D08C" w14:textId="77777777" w:rsidR="007B50CC" w:rsidRPr="00766EA6" w:rsidRDefault="00984516" w:rsidP="00766EA6">
            <w:pPr>
              <w:pStyle w:val="ListParagraph"/>
              <w:numPr>
                <w:ilvl w:val="0"/>
                <w:numId w:val="49"/>
              </w:numPr>
              <w:rPr>
                <w:rFonts w:ascii="Source Sans Pro" w:eastAsia="Source Sans Pro" w:hAnsi="Source Sans Pro" w:cs="Times New Roman"/>
                <w:b/>
                <w:bCs/>
              </w:rPr>
            </w:pPr>
            <w:r w:rsidRPr="00766EA6">
              <w:rPr>
                <w:rFonts w:ascii="Source Sans Pro" w:eastAsia="Source Sans Pro" w:hAnsi="Source Sans Pro" w:cs="Times New Roman"/>
              </w:rPr>
              <w:lastRenderedPageBreak/>
              <w:t xml:space="preserve">We believe that these factors that are unique to Credit Unions warrant special considerations by FSRA to tailor an approach </w:t>
            </w:r>
            <w:r w:rsidR="009C606A" w:rsidRPr="00766EA6">
              <w:rPr>
                <w:rFonts w:ascii="Source Sans Pro" w:eastAsia="Source Sans Pro" w:hAnsi="Source Sans Pro" w:cs="Times New Roman"/>
              </w:rPr>
              <w:t xml:space="preserve">that is </w:t>
            </w:r>
            <w:r w:rsidRPr="00766EA6">
              <w:rPr>
                <w:rFonts w:ascii="Source Sans Pro" w:eastAsia="Source Sans Pro" w:hAnsi="Source Sans Pro" w:cs="Times New Roman"/>
              </w:rPr>
              <w:t>more conducive to enabl</w:t>
            </w:r>
            <w:r w:rsidR="009C606A" w:rsidRPr="00766EA6">
              <w:rPr>
                <w:rFonts w:ascii="Source Sans Pro" w:eastAsia="Source Sans Pro" w:hAnsi="Source Sans Pro" w:cs="Times New Roman"/>
              </w:rPr>
              <w:t>ing the</w:t>
            </w:r>
            <w:r w:rsidRPr="00766EA6">
              <w:rPr>
                <w:rFonts w:ascii="Source Sans Pro" w:eastAsia="Source Sans Pro" w:hAnsi="Source Sans Pro" w:cs="Times New Roman"/>
              </w:rPr>
              <w:t xml:space="preserve"> long-term success of the sector.</w:t>
            </w:r>
          </w:p>
          <w:p w14:paraId="3BDD1C3A" w14:textId="69E093ED" w:rsidR="00766EA6" w:rsidRPr="007226E6" w:rsidRDefault="00766EA6" w:rsidP="00766EA6">
            <w:pPr>
              <w:pStyle w:val="ListParagraph"/>
              <w:rPr>
                <w:rFonts w:ascii="Source Sans Pro" w:eastAsia="Source Sans Pro" w:hAnsi="Source Sans Pro" w:cs="Times New Roman"/>
                <w:b/>
                <w:bCs/>
              </w:rPr>
            </w:pPr>
          </w:p>
        </w:tc>
      </w:tr>
      <w:tr w:rsidR="005835E8" w14:paraId="0D071B62" w14:textId="77777777" w:rsidTr="00D336AA">
        <w:tc>
          <w:tcPr>
            <w:tcW w:w="1418" w:type="dxa"/>
          </w:tcPr>
          <w:p w14:paraId="4747347F" w14:textId="77777777" w:rsidR="005835E8" w:rsidRDefault="005835E8" w:rsidP="004F6E7B">
            <w:pPr>
              <w:rPr>
                <w:rFonts w:ascii="Source Sans Pro" w:eastAsia="Source Sans Pro" w:hAnsi="Source Sans Pro" w:cs="Times New Roman"/>
              </w:rPr>
            </w:pPr>
            <w:r>
              <w:rPr>
                <w:rFonts w:ascii="Source Sans Pro" w:eastAsia="Source Sans Pro" w:hAnsi="Source Sans Pro" w:cs="Times New Roman"/>
              </w:rPr>
              <w:lastRenderedPageBreak/>
              <w:t>Table 2(mm)</w:t>
            </w:r>
          </w:p>
        </w:tc>
        <w:tc>
          <w:tcPr>
            <w:tcW w:w="10348" w:type="dxa"/>
          </w:tcPr>
          <w:p w14:paraId="11B5CBE6" w14:textId="77777777" w:rsidR="005835E8" w:rsidRDefault="005835E8" w:rsidP="00784120">
            <w:pPr>
              <w:rPr>
                <w:rFonts w:ascii="Source Sans Pro" w:eastAsia="Source Sans Pro" w:hAnsi="Source Sans Pro" w:cs="Times New Roman"/>
                <w:b/>
                <w:bCs/>
              </w:rPr>
            </w:pPr>
            <w:r>
              <w:rPr>
                <w:rFonts w:ascii="Source Sans Pro" w:eastAsia="Source Sans Pro" w:hAnsi="Source Sans Pro" w:cs="Times New Roman"/>
                <w:b/>
                <w:bCs/>
              </w:rPr>
              <w:t>Commentary</w:t>
            </w:r>
          </w:p>
          <w:p w14:paraId="065BEF47" w14:textId="77777777" w:rsidR="005835E8" w:rsidRPr="00C15B67" w:rsidRDefault="005835E8" w:rsidP="005835E8">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 xml:space="preserve">Table </w:t>
            </w:r>
            <w:r w:rsidR="006D508E">
              <w:rPr>
                <w:rFonts w:ascii="Source Sans Pro" w:eastAsia="Source Sans Pro" w:hAnsi="Source Sans Pro" w:cs="Times New Roman"/>
              </w:rPr>
              <w:t>2(mm) states “</w:t>
            </w:r>
            <w:r w:rsidR="00BF32C3">
              <w:rPr>
                <w:rFonts w:ascii="Source Sans Pro" w:eastAsia="Source Sans Pro" w:hAnsi="Source Sans Pro" w:cs="Times New Roman"/>
              </w:rPr>
              <w:t>c</w:t>
            </w:r>
            <w:r w:rsidR="006D508E">
              <w:rPr>
                <w:rFonts w:ascii="Source Sans Pro" w:eastAsia="Source Sans Pro" w:hAnsi="Source Sans Pro" w:cs="Times New Roman"/>
              </w:rPr>
              <w:t xml:space="preserve">ommercial loans made to a person where the sum of all commercial loans made to that person and to any connected persons does not exceed the lesser of 0.0035% of the </w:t>
            </w:r>
            <w:r w:rsidR="00BF32C3">
              <w:rPr>
                <w:rFonts w:ascii="Source Sans Pro" w:eastAsia="Source Sans Pro" w:hAnsi="Source Sans Pro" w:cs="Times New Roman"/>
              </w:rPr>
              <w:t>C</w:t>
            </w:r>
            <w:r w:rsidR="006D508E">
              <w:rPr>
                <w:rFonts w:ascii="Source Sans Pro" w:eastAsia="Source Sans Pro" w:hAnsi="Source Sans Pro" w:cs="Times New Roman"/>
              </w:rPr>
              <w:t xml:space="preserve">redit </w:t>
            </w:r>
            <w:r w:rsidR="00BF32C3">
              <w:rPr>
                <w:rFonts w:ascii="Source Sans Pro" w:eastAsia="Source Sans Pro" w:hAnsi="Source Sans Pro" w:cs="Times New Roman"/>
              </w:rPr>
              <w:t>U</w:t>
            </w:r>
            <w:r w:rsidR="006D508E">
              <w:rPr>
                <w:rFonts w:ascii="Source Sans Pro" w:eastAsia="Source Sans Pro" w:hAnsi="Source Sans Pro" w:cs="Times New Roman"/>
              </w:rPr>
              <w:t>nion’s total assets and $1.25</w:t>
            </w:r>
            <w:r w:rsidR="005F27A4">
              <w:rPr>
                <w:rFonts w:ascii="Source Sans Pro" w:eastAsia="Source Sans Pro" w:hAnsi="Source Sans Pro" w:cs="Times New Roman"/>
              </w:rPr>
              <w:t xml:space="preserve"> million”</w:t>
            </w:r>
            <w:r w:rsidR="00F83C46">
              <w:rPr>
                <w:rFonts w:ascii="Source Sans Pro" w:eastAsia="Source Sans Pro" w:hAnsi="Source Sans Pro" w:cs="Times New Roman"/>
              </w:rPr>
              <w:t>.</w:t>
            </w:r>
          </w:p>
          <w:p w14:paraId="0FF73D87" w14:textId="2E7A5B4E" w:rsidR="00C15B67" w:rsidRPr="00FD0299" w:rsidRDefault="00BE3820" w:rsidP="005835E8">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We believe th</w:t>
            </w:r>
            <w:r w:rsidR="001A0EC7">
              <w:rPr>
                <w:rFonts w:ascii="Source Sans Pro" w:eastAsia="Source Sans Pro" w:hAnsi="Source Sans Pro" w:cs="Times New Roman"/>
              </w:rPr>
              <w:t xml:space="preserve">e quantitative threshold </w:t>
            </w:r>
            <w:r w:rsidR="007A03BA">
              <w:rPr>
                <w:rFonts w:ascii="Source Sans Pro" w:eastAsia="Source Sans Pro" w:hAnsi="Source Sans Pro" w:cs="Times New Roman"/>
              </w:rPr>
              <w:t xml:space="preserve">of $1.25 million </w:t>
            </w:r>
            <w:r w:rsidR="001A0EC7">
              <w:rPr>
                <w:rFonts w:ascii="Source Sans Pro" w:eastAsia="Source Sans Pro" w:hAnsi="Source Sans Pro" w:cs="Times New Roman"/>
              </w:rPr>
              <w:t xml:space="preserve">used for </w:t>
            </w:r>
            <w:r>
              <w:rPr>
                <w:rFonts w:ascii="Source Sans Pro" w:eastAsia="Source Sans Pro" w:hAnsi="Source Sans Pro" w:cs="Times New Roman"/>
              </w:rPr>
              <w:t>small</w:t>
            </w:r>
            <w:r w:rsidR="002F0FA3">
              <w:rPr>
                <w:rFonts w:ascii="Source Sans Pro" w:eastAsia="Source Sans Pro" w:hAnsi="Source Sans Pro" w:cs="Times New Roman"/>
              </w:rPr>
              <w:t xml:space="preserve"> business</w:t>
            </w:r>
            <w:r w:rsidR="00951651">
              <w:rPr>
                <w:rFonts w:ascii="Source Sans Pro" w:eastAsia="Source Sans Pro" w:hAnsi="Source Sans Pro" w:cs="Times New Roman"/>
              </w:rPr>
              <w:t xml:space="preserve"> </w:t>
            </w:r>
            <w:r w:rsidR="00A724BB">
              <w:rPr>
                <w:rFonts w:ascii="Source Sans Pro" w:eastAsia="Source Sans Pro" w:hAnsi="Source Sans Pro" w:cs="Times New Roman"/>
              </w:rPr>
              <w:t>i</w:t>
            </w:r>
            <w:r w:rsidR="008F2D23">
              <w:rPr>
                <w:rFonts w:ascii="Source Sans Pro" w:eastAsia="Source Sans Pro" w:hAnsi="Source Sans Pro" w:cs="Times New Roman"/>
              </w:rPr>
              <w:t>s dated</w:t>
            </w:r>
            <w:r w:rsidR="00EE661B">
              <w:rPr>
                <w:rFonts w:ascii="Source Sans Pro" w:eastAsia="Source Sans Pro" w:hAnsi="Source Sans Pro" w:cs="Times New Roman"/>
              </w:rPr>
              <w:t xml:space="preserve"> </w:t>
            </w:r>
            <w:r w:rsidR="00A84459">
              <w:rPr>
                <w:rFonts w:ascii="Source Sans Pro" w:eastAsia="Source Sans Pro" w:hAnsi="Source Sans Pro" w:cs="Times New Roman"/>
              </w:rPr>
              <w:t xml:space="preserve">and requires </w:t>
            </w:r>
            <w:r w:rsidR="00C12300">
              <w:rPr>
                <w:rFonts w:ascii="Source Sans Pro" w:eastAsia="Source Sans Pro" w:hAnsi="Source Sans Pro" w:cs="Times New Roman"/>
              </w:rPr>
              <w:t xml:space="preserve">revision to reflect </w:t>
            </w:r>
            <w:r w:rsidR="00C9188A">
              <w:rPr>
                <w:rFonts w:ascii="Source Sans Pro" w:eastAsia="Source Sans Pro" w:hAnsi="Source Sans Pro" w:cs="Times New Roman"/>
              </w:rPr>
              <w:t xml:space="preserve">current </w:t>
            </w:r>
            <w:r w:rsidR="001440A9">
              <w:rPr>
                <w:rFonts w:ascii="Source Sans Pro" w:eastAsia="Source Sans Pro" w:hAnsi="Source Sans Pro" w:cs="Times New Roman"/>
              </w:rPr>
              <w:t xml:space="preserve">market trends within this </w:t>
            </w:r>
            <w:r w:rsidR="00FE5797">
              <w:rPr>
                <w:rFonts w:ascii="Source Sans Pro" w:eastAsia="Source Sans Pro" w:hAnsi="Source Sans Pro" w:cs="Times New Roman"/>
              </w:rPr>
              <w:t xml:space="preserve">business </w:t>
            </w:r>
            <w:r w:rsidR="001440A9">
              <w:rPr>
                <w:rFonts w:ascii="Source Sans Pro" w:eastAsia="Source Sans Pro" w:hAnsi="Source Sans Pro" w:cs="Times New Roman"/>
              </w:rPr>
              <w:t>segment</w:t>
            </w:r>
            <w:r w:rsidR="000F3BAB">
              <w:rPr>
                <w:rFonts w:ascii="Source Sans Pro" w:eastAsia="Source Sans Pro" w:hAnsi="Source Sans Pro" w:cs="Times New Roman"/>
              </w:rPr>
              <w:t>.</w:t>
            </w:r>
          </w:p>
          <w:p w14:paraId="1B002981" w14:textId="77777777" w:rsidR="00FD0299" w:rsidRPr="00F42AE4" w:rsidRDefault="00FD0299" w:rsidP="005835E8">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 xml:space="preserve">There may be opportunities to harmonize with future direction of OSFI guidance </w:t>
            </w:r>
            <w:r w:rsidR="00A40246">
              <w:rPr>
                <w:rFonts w:ascii="Source Sans Pro" w:eastAsia="Source Sans Pro" w:hAnsi="Source Sans Pro" w:cs="Times New Roman"/>
              </w:rPr>
              <w:t xml:space="preserve">where the size of a business is based on </w:t>
            </w:r>
            <w:r w:rsidR="00F42AE4">
              <w:rPr>
                <w:rFonts w:ascii="Source Sans Pro" w:eastAsia="Source Sans Pro" w:hAnsi="Source Sans Pro" w:cs="Times New Roman"/>
              </w:rPr>
              <w:t>its revenue.</w:t>
            </w:r>
          </w:p>
          <w:p w14:paraId="7044FBF3" w14:textId="38267639" w:rsidR="00F42AE4" w:rsidRPr="00000824" w:rsidRDefault="00945ED2" w:rsidP="005835E8">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There is also currently an inconsistency with the small</w:t>
            </w:r>
            <w:r w:rsidR="002F0FA3">
              <w:rPr>
                <w:rFonts w:ascii="Source Sans Pro" w:eastAsia="Source Sans Pro" w:hAnsi="Source Sans Pro" w:cs="Times New Roman"/>
              </w:rPr>
              <w:t xml:space="preserve"> business</w:t>
            </w:r>
            <w:r>
              <w:rPr>
                <w:rFonts w:ascii="Source Sans Pro" w:eastAsia="Source Sans Pro" w:hAnsi="Source Sans Pro" w:cs="Times New Roman"/>
              </w:rPr>
              <w:t xml:space="preserve"> definition in the </w:t>
            </w:r>
            <w:r w:rsidR="0013518B">
              <w:rPr>
                <w:rFonts w:ascii="Source Sans Pro" w:eastAsia="Source Sans Pro" w:hAnsi="Source Sans Pro" w:cs="Times New Roman"/>
              </w:rPr>
              <w:t xml:space="preserve">Proposed </w:t>
            </w:r>
            <w:r>
              <w:rPr>
                <w:rFonts w:ascii="Source Sans Pro" w:eastAsia="Source Sans Pro" w:hAnsi="Source Sans Pro" w:cs="Times New Roman"/>
              </w:rPr>
              <w:t xml:space="preserve">Liquidity </w:t>
            </w:r>
            <w:r w:rsidR="0013518B">
              <w:rPr>
                <w:rFonts w:ascii="Source Sans Pro" w:eastAsia="Source Sans Pro" w:hAnsi="Source Sans Pro" w:cs="Times New Roman"/>
              </w:rPr>
              <w:t xml:space="preserve">Adequacy </w:t>
            </w:r>
            <w:r>
              <w:rPr>
                <w:rFonts w:ascii="Source Sans Pro" w:eastAsia="Source Sans Pro" w:hAnsi="Source Sans Pro" w:cs="Times New Roman"/>
              </w:rPr>
              <w:t>Rule 1(1)</w:t>
            </w:r>
            <w:r w:rsidR="0067021E">
              <w:rPr>
                <w:rFonts w:ascii="Source Sans Pro" w:eastAsia="Source Sans Pro" w:hAnsi="Source Sans Pro" w:cs="Times New Roman"/>
              </w:rPr>
              <w:t>(xl</w:t>
            </w:r>
            <w:r w:rsidR="002F0FA3">
              <w:rPr>
                <w:rFonts w:ascii="Source Sans Pro" w:eastAsia="Source Sans Pro" w:hAnsi="Source Sans Pro" w:cs="Times New Roman"/>
              </w:rPr>
              <w:t>iii)</w:t>
            </w:r>
            <w:r w:rsidR="006830E2">
              <w:rPr>
                <w:rFonts w:ascii="Source Sans Pro" w:eastAsia="Source Sans Pro" w:hAnsi="Source Sans Pro" w:cs="Times New Roman"/>
              </w:rPr>
              <w:t xml:space="preserve"> which states “a small business that is managed as a retail exposure by the </w:t>
            </w:r>
            <w:r w:rsidR="00CA04C5">
              <w:rPr>
                <w:rFonts w:ascii="Source Sans Pro" w:eastAsia="Source Sans Pro" w:hAnsi="Source Sans Pro" w:cs="Times New Roman"/>
              </w:rPr>
              <w:t>C</w:t>
            </w:r>
            <w:r w:rsidR="006830E2">
              <w:rPr>
                <w:rFonts w:ascii="Source Sans Pro" w:eastAsia="Source Sans Pro" w:hAnsi="Source Sans Pro" w:cs="Times New Roman"/>
              </w:rPr>
              <w:t xml:space="preserve">redit </w:t>
            </w:r>
            <w:r w:rsidR="00CA04C5">
              <w:rPr>
                <w:rFonts w:ascii="Source Sans Pro" w:eastAsia="Source Sans Pro" w:hAnsi="Source Sans Pro" w:cs="Times New Roman"/>
              </w:rPr>
              <w:t>U</w:t>
            </w:r>
            <w:r w:rsidR="006830E2">
              <w:rPr>
                <w:rFonts w:ascii="Source Sans Pro" w:eastAsia="Source Sans Pro" w:hAnsi="Source Sans Pro" w:cs="Times New Roman"/>
              </w:rPr>
              <w:t>nion, provided that the total aggregate funding, excluding all residential mortgage exposures</w:t>
            </w:r>
            <w:r w:rsidR="00DA48D4">
              <w:rPr>
                <w:rFonts w:ascii="Source Sans Pro" w:eastAsia="Source Sans Pro" w:hAnsi="Source Sans Pro" w:cs="Times New Roman"/>
              </w:rPr>
              <w:t xml:space="preserve">, provided by the </w:t>
            </w:r>
            <w:r w:rsidR="00541169">
              <w:rPr>
                <w:rFonts w:ascii="Source Sans Pro" w:eastAsia="Source Sans Pro" w:hAnsi="Source Sans Pro" w:cs="Times New Roman"/>
              </w:rPr>
              <w:t>C</w:t>
            </w:r>
            <w:r w:rsidR="00DA48D4">
              <w:rPr>
                <w:rFonts w:ascii="Source Sans Pro" w:eastAsia="Source Sans Pro" w:hAnsi="Source Sans Pro" w:cs="Times New Roman"/>
              </w:rPr>
              <w:t xml:space="preserve">redit </w:t>
            </w:r>
            <w:r w:rsidR="00541169">
              <w:rPr>
                <w:rFonts w:ascii="Source Sans Pro" w:eastAsia="Source Sans Pro" w:hAnsi="Source Sans Pro" w:cs="Times New Roman"/>
              </w:rPr>
              <w:t>U</w:t>
            </w:r>
            <w:r w:rsidR="00DA48D4">
              <w:rPr>
                <w:rFonts w:ascii="Source Sans Pro" w:eastAsia="Source Sans Pro" w:hAnsi="Source Sans Pro" w:cs="Times New Roman"/>
              </w:rPr>
              <w:t>nion to the small business and connected persons to it is less than $1.5 million.”</w:t>
            </w:r>
          </w:p>
          <w:p w14:paraId="21827B10" w14:textId="5774C5DE" w:rsidR="00000824" w:rsidRPr="005F27A4" w:rsidRDefault="00866874" w:rsidP="005835E8">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We recommend</w:t>
            </w:r>
            <w:r w:rsidR="00012258">
              <w:rPr>
                <w:rFonts w:ascii="Source Sans Pro" w:eastAsia="Source Sans Pro" w:hAnsi="Source Sans Pro" w:cs="Times New Roman"/>
              </w:rPr>
              <w:t xml:space="preserve"> the limit be increased to</w:t>
            </w:r>
            <w:r w:rsidR="00C55946">
              <w:rPr>
                <w:rFonts w:ascii="Source Sans Pro" w:eastAsia="Source Sans Pro" w:hAnsi="Source Sans Pro" w:cs="Times New Roman"/>
              </w:rPr>
              <w:t xml:space="preserve"> a range between $3</w:t>
            </w:r>
            <w:r w:rsidR="00AF1D74">
              <w:rPr>
                <w:rFonts w:ascii="Source Sans Pro" w:eastAsia="Source Sans Pro" w:hAnsi="Source Sans Pro" w:cs="Times New Roman"/>
              </w:rPr>
              <w:t xml:space="preserve">-5 million </w:t>
            </w:r>
            <w:r w:rsidR="00012258">
              <w:rPr>
                <w:rFonts w:ascii="Source Sans Pro" w:eastAsia="Source Sans Pro" w:hAnsi="Source Sans Pro" w:cs="Times New Roman"/>
              </w:rPr>
              <w:t xml:space="preserve">and </w:t>
            </w:r>
            <w:r w:rsidR="00A975AD">
              <w:rPr>
                <w:rFonts w:ascii="Source Sans Pro" w:eastAsia="Source Sans Pro" w:hAnsi="Source Sans Pro" w:cs="Times New Roman"/>
              </w:rPr>
              <w:t xml:space="preserve">appropriately </w:t>
            </w:r>
            <w:r w:rsidR="00012258">
              <w:rPr>
                <w:rFonts w:ascii="Source Sans Pro" w:eastAsia="Source Sans Pro" w:hAnsi="Source Sans Pro" w:cs="Times New Roman"/>
              </w:rPr>
              <w:t xml:space="preserve">aligned between </w:t>
            </w:r>
            <w:r w:rsidR="0040067F">
              <w:rPr>
                <w:rFonts w:ascii="Source Sans Pro" w:eastAsia="Source Sans Pro" w:hAnsi="Source Sans Pro" w:cs="Times New Roman"/>
              </w:rPr>
              <w:t xml:space="preserve">Proposed </w:t>
            </w:r>
            <w:r w:rsidR="00012258">
              <w:rPr>
                <w:rFonts w:ascii="Source Sans Pro" w:eastAsia="Source Sans Pro" w:hAnsi="Source Sans Pro" w:cs="Times New Roman"/>
              </w:rPr>
              <w:t>Capital and Liquidity Rules.</w:t>
            </w:r>
          </w:p>
          <w:p w14:paraId="25B7C9F0" w14:textId="77777777" w:rsidR="005F27A4" w:rsidRDefault="005F27A4" w:rsidP="005F27A4">
            <w:pPr>
              <w:rPr>
                <w:rFonts w:ascii="Source Sans Pro" w:eastAsia="Source Sans Pro" w:hAnsi="Source Sans Pro" w:cs="Times New Roman"/>
                <w:b/>
                <w:bCs/>
              </w:rPr>
            </w:pPr>
          </w:p>
          <w:p w14:paraId="16CACDB6" w14:textId="77777777" w:rsidR="005F27A4" w:rsidRDefault="005F27A4" w:rsidP="005F27A4">
            <w:pPr>
              <w:rPr>
                <w:rFonts w:ascii="Source Sans Pro" w:eastAsia="Source Sans Pro" w:hAnsi="Source Sans Pro" w:cs="Times New Roman"/>
                <w:b/>
                <w:bCs/>
              </w:rPr>
            </w:pPr>
            <w:r>
              <w:rPr>
                <w:rFonts w:ascii="Source Sans Pro" w:eastAsia="Source Sans Pro" w:hAnsi="Source Sans Pro" w:cs="Times New Roman"/>
                <w:b/>
                <w:bCs/>
              </w:rPr>
              <w:t>Unintended Consequences and Impact</w:t>
            </w:r>
          </w:p>
          <w:p w14:paraId="7D428A91" w14:textId="043B912F" w:rsidR="005F27A4" w:rsidRPr="005F27A4" w:rsidRDefault="00F5074A" w:rsidP="005F27A4">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Q</w:t>
            </w:r>
            <w:r w:rsidR="0052257A">
              <w:rPr>
                <w:rFonts w:ascii="Source Sans Pro" w:eastAsia="Source Sans Pro" w:hAnsi="Source Sans Pro" w:cs="Times New Roman"/>
              </w:rPr>
              <w:t>uantitative threshold</w:t>
            </w:r>
            <w:r>
              <w:rPr>
                <w:rFonts w:ascii="Source Sans Pro" w:eastAsia="Source Sans Pro" w:hAnsi="Source Sans Pro" w:cs="Times New Roman"/>
              </w:rPr>
              <w:t xml:space="preserve"> that is too low</w:t>
            </w:r>
            <w:r w:rsidR="0052257A">
              <w:rPr>
                <w:rFonts w:ascii="Source Sans Pro" w:eastAsia="Source Sans Pro" w:hAnsi="Source Sans Pro" w:cs="Times New Roman"/>
              </w:rPr>
              <w:t xml:space="preserve"> may inadvertently </w:t>
            </w:r>
            <w:r w:rsidR="00877A43">
              <w:rPr>
                <w:rFonts w:ascii="Source Sans Pro" w:eastAsia="Source Sans Pro" w:hAnsi="Source Sans Pro" w:cs="Times New Roman"/>
              </w:rPr>
              <w:t xml:space="preserve">lead to </w:t>
            </w:r>
            <w:r w:rsidR="00EE1874">
              <w:rPr>
                <w:rFonts w:ascii="Source Sans Pro" w:eastAsia="Source Sans Pro" w:hAnsi="Source Sans Pro" w:cs="Times New Roman"/>
              </w:rPr>
              <w:t xml:space="preserve">more loans being considered commercial loans </w:t>
            </w:r>
            <w:r w:rsidR="009F073C">
              <w:rPr>
                <w:rFonts w:ascii="Source Sans Pro" w:eastAsia="Source Sans Pro" w:hAnsi="Source Sans Pro" w:cs="Times New Roman"/>
              </w:rPr>
              <w:t xml:space="preserve">with </w:t>
            </w:r>
            <w:r w:rsidR="00EE1874">
              <w:rPr>
                <w:rFonts w:ascii="Source Sans Pro" w:eastAsia="Source Sans Pro" w:hAnsi="Source Sans Pro" w:cs="Times New Roman"/>
              </w:rPr>
              <w:t xml:space="preserve">higher </w:t>
            </w:r>
            <w:r w:rsidR="009533BA">
              <w:rPr>
                <w:rFonts w:ascii="Source Sans Pro" w:eastAsia="Source Sans Pro" w:hAnsi="Source Sans Pro" w:cs="Times New Roman"/>
              </w:rPr>
              <w:t>capital</w:t>
            </w:r>
            <w:r w:rsidR="009F073C">
              <w:rPr>
                <w:rFonts w:ascii="Source Sans Pro" w:eastAsia="Source Sans Pro" w:hAnsi="Source Sans Pro" w:cs="Times New Roman"/>
              </w:rPr>
              <w:t xml:space="preserve"> requirements</w:t>
            </w:r>
            <w:r w:rsidR="009533BA">
              <w:rPr>
                <w:rFonts w:ascii="Source Sans Pro" w:eastAsia="Source Sans Pro" w:hAnsi="Source Sans Pro" w:cs="Times New Roman"/>
              </w:rPr>
              <w:t xml:space="preserve"> (and </w:t>
            </w:r>
            <w:r>
              <w:rPr>
                <w:rFonts w:ascii="Source Sans Pro" w:eastAsia="Source Sans Pro" w:hAnsi="Source Sans Pro" w:cs="Times New Roman"/>
              </w:rPr>
              <w:t xml:space="preserve">correspondingly </w:t>
            </w:r>
            <w:r w:rsidR="009533BA">
              <w:rPr>
                <w:rFonts w:ascii="Source Sans Pro" w:eastAsia="Source Sans Pro" w:hAnsi="Source Sans Pro" w:cs="Times New Roman"/>
              </w:rPr>
              <w:t xml:space="preserve">higher pricing) </w:t>
            </w:r>
            <w:r>
              <w:rPr>
                <w:rFonts w:ascii="Source Sans Pro" w:eastAsia="Source Sans Pro" w:hAnsi="Source Sans Pro" w:cs="Times New Roman"/>
              </w:rPr>
              <w:t xml:space="preserve">that may not be warranted given </w:t>
            </w:r>
            <w:r w:rsidR="00653171">
              <w:rPr>
                <w:rFonts w:ascii="Source Sans Pro" w:eastAsia="Source Sans Pro" w:hAnsi="Source Sans Pro" w:cs="Times New Roman"/>
              </w:rPr>
              <w:t xml:space="preserve">the </w:t>
            </w:r>
            <w:r>
              <w:rPr>
                <w:rFonts w:ascii="Source Sans Pro" w:eastAsia="Source Sans Pro" w:hAnsi="Source Sans Pro" w:cs="Times New Roman"/>
              </w:rPr>
              <w:t xml:space="preserve">risk profile. </w:t>
            </w:r>
            <w:r w:rsidR="00BB685C">
              <w:rPr>
                <w:rFonts w:ascii="Source Sans Pro" w:eastAsia="Source Sans Pro" w:hAnsi="Source Sans Pro" w:cs="Times New Roman"/>
              </w:rPr>
              <w:t xml:space="preserve">This could </w:t>
            </w:r>
            <w:r w:rsidR="00041F89">
              <w:rPr>
                <w:rFonts w:ascii="Source Sans Pro" w:eastAsia="Source Sans Pro" w:hAnsi="Source Sans Pro" w:cs="Times New Roman"/>
              </w:rPr>
              <w:t xml:space="preserve">in turn </w:t>
            </w:r>
            <w:r w:rsidR="00BB685C">
              <w:rPr>
                <w:rFonts w:ascii="Source Sans Pro" w:eastAsia="Source Sans Pro" w:hAnsi="Source Sans Pro" w:cs="Times New Roman"/>
              </w:rPr>
              <w:t xml:space="preserve">lead to </w:t>
            </w:r>
            <w:r w:rsidR="00041F89">
              <w:rPr>
                <w:rFonts w:ascii="Source Sans Pro" w:eastAsia="Source Sans Pro" w:hAnsi="Source Sans Pro" w:cs="Times New Roman"/>
              </w:rPr>
              <w:t xml:space="preserve">restricting growth in an important </w:t>
            </w:r>
            <w:r w:rsidR="00181216">
              <w:rPr>
                <w:rFonts w:ascii="Source Sans Pro" w:eastAsia="Source Sans Pro" w:hAnsi="Source Sans Pro" w:cs="Times New Roman"/>
              </w:rPr>
              <w:t xml:space="preserve">segment of our </w:t>
            </w:r>
            <w:r w:rsidR="00041F89">
              <w:rPr>
                <w:rFonts w:ascii="Source Sans Pro" w:eastAsia="Source Sans Pro" w:hAnsi="Source Sans Pro" w:cs="Times New Roman"/>
              </w:rPr>
              <w:t xml:space="preserve">member base </w:t>
            </w:r>
            <w:r w:rsidR="00181216">
              <w:rPr>
                <w:rFonts w:ascii="Source Sans Pro" w:eastAsia="Source Sans Pro" w:hAnsi="Source Sans Pro" w:cs="Times New Roman"/>
              </w:rPr>
              <w:t xml:space="preserve">and </w:t>
            </w:r>
            <w:r w:rsidR="00C97CFC">
              <w:rPr>
                <w:rFonts w:ascii="Source Sans Pro" w:eastAsia="Source Sans Pro" w:hAnsi="Source Sans Pro" w:cs="Times New Roman"/>
              </w:rPr>
              <w:t xml:space="preserve">a significant growth engine within the </w:t>
            </w:r>
            <w:r w:rsidR="00181216">
              <w:rPr>
                <w:rFonts w:ascii="Source Sans Pro" w:eastAsia="Source Sans Pro" w:hAnsi="Source Sans Pro" w:cs="Times New Roman"/>
              </w:rPr>
              <w:t xml:space="preserve">Canadian economy </w:t>
            </w:r>
            <w:r w:rsidR="00A90A33">
              <w:rPr>
                <w:rFonts w:ascii="Source Sans Pro" w:eastAsia="Source Sans Pro" w:hAnsi="Source Sans Pro" w:cs="Times New Roman"/>
              </w:rPr>
              <w:t xml:space="preserve">that is the small business and entrepreneur </w:t>
            </w:r>
            <w:r w:rsidR="000B5C48">
              <w:rPr>
                <w:rFonts w:ascii="Source Sans Pro" w:eastAsia="Source Sans Pro" w:hAnsi="Source Sans Pro" w:cs="Times New Roman"/>
              </w:rPr>
              <w:t>segment.</w:t>
            </w:r>
            <w:r w:rsidR="008E1782">
              <w:rPr>
                <w:rFonts w:ascii="Source Sans Pro" w:eastAsia="Source Sans Pro" w:hAnsi="Source Sans Pro" w:cs="Times New Roman"/>
              </w:rPr>
              <w:t xml:space="preserve"> </w:t>
            </w:r>
          </w:p>
          <w:p w14:paraId="7CCAD981" w14:textId="77777777" w:rsidR="005F27A4" w:rsidRPr="005F27A4" w:rsidRDefault="005F27A4" w:rsidP="005F27A4">
            <w:pPr>
              <w:pStyle w:val="ListParagraph"/>
              <w:rPr>
                <w:rFonts w:ascii="Source Sans Pro" w:eastAsia="Source Sans Pro" w:hAnsi="Source Sans Pro" w:cs="Times New Roman"/>
                <w:b/>
                <w:bCs/>
              </w:rPr>
            </w:pPr>
          </w:p>
        </w:tc>
      </w:tr>
      <w:tr w:rsidR="002D21B3" w14:paraId="5AC0C5E1" w14:textId="77777777" w:rsidTr="00D336AA">
        <w:tc>
          <w:tcPr>
            <w:tcW w:w="1418" w:type="dxa"/>
          </w:tcPr>
          <w:p w14:paraId="379431F1" w14:textId="3A5EB627" w:rsidR="002D21B3" w:rsidRDefault="002D21B3" w:rsidP="004F6E7B">
            <w:pPr>
              <w:rPr>
                <w:rFonts w:ascii="Source Sans Pro" w:eastAsia="Source Sans Pro" w:hAnsi="Source Sans Pro" w:cs="Times New Roman"/>
              </w:rPr>
            </w:pPr>
            <w:r>
              <w:rPr>
                <w:rFonts w:ascii="Source Sans Pro" w:eastAsia="Source Sans Pro" w:hAnsi="Source Sans Pro" w:cs="Times New Roman"/>
              </w:rPr>
              <w:t>Table 2(bb)</w:t>
            </w:r>
          </w:p>
        </w:tc>
        <w:tc>
          <w:tcPr>
            <w:tcW w:w="10348" w:type="dxa"/>
          </w:tcPr>
          <w:p w14:paraId="16D073BE" w14:textId="256D1360" w:rsidR="002D21B3" w:rsidRDefault="00B84BA8" w:rsidP="002D21B3">
            <w:pPr>
              <w:pStyle w:val="ListParagraph"/>
              <w:ind w:left="0"/>
              <w:rPr>
                <w:rFonts w:ascii="Source Sans Pro" w:eastAsia="Source Sans Pro" w:hAnsi="Source Sans Pro" w:cs="Times New Roman"/>
                <w:b/>
                <w:bCs/>
              </w:rPr>
            </w:pPr>
            <w:r>
              <w:rPr>
                <w:rFonts w:ascii="Source Sans Pro" w:eastAsia="Source Sans Pro" w:hAnsi="Source Sans Pro" w:cs="Times New Roman"/>
                <w:b/>
                <w:bCs/>
              </w:rPr>
              <w:t>Commentary</w:t>
            </w:r>
          </w:p>
          <w:p w14:paraId="4728CF12" w14:textId="3D4E0AD8" w:rsidR="00E509A4" w:rsidRPr="00E509A4" w:rsidRDefault="00636A16" w:rsidP="00E509A4">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Residential mortgage loans receiving 35% risk weight</w:t>
            </w:r>
            <w:r w:rsidR="00793063">
              <w:rPr>
                <w:rFonts w:ascii="Source Sans Pro" w:eastAsia="Source Sans Pro" w:hAnsi="Source Sans Pro" w:cs="Times New Roman"/>
              </w:rPr>
              <w:t>ing</w:t>
            </w:r>
            <w:r>
              <w:rPr>
                <w:rFonts w:ascii="Source Sans Pro" w:eastAsia="Source Sans Pro" w:hAnsi="Source Sans Pro" w:cs="Times New Roman"/>
              </w:rPr>
              <w:t xml:space="preserve"> currently exclude </w:t>
            </w:r>
            <w:r w:rsidR="00C9188A">
              <w:rPr>
                <w:rFonts w:ascii="Source Sans Pro" w:eastAsia="Source Sans Pro" w:hAnsi="Source Sans Pro" w:cs="Times New Roman"/>
              </w:rPr>
              <w:t>non-</w:t>
            </w:r>
            <w:r>
              <w:rPr>
                <w:rFonts w:ascii="Source Sans Pro" w:eastAsia="Source Sans Pro" w:hAnsi="Source Sans Pro" w:cs="Times New Roman"/>
              </w:rPr>
              <w:t>owner</w:t>
            </w:r>
            <w:r w:rsidR="00B93362">
              <w:rPr>
                <w:rFonts w:ascii="Source Sans Pro" w:eastAsia="Source Sans Pro" w:hAnsi="Source Sans Pro" w:cs="Times New Roman"/>
              </w:rPr>
              <w:t>-</w:t>
            </w:r>
            <w:r>
              <w:rPr>
                <w:rFonts w:ascii="Source Sans Pro" w:eastAsia="Source Sans Pro" w:hAnsi="Source Sans Pro" w:cs="Times New Roman"/>
              </w:rPr>
              <w:t>occupied properties</w:t>
            </w:r>
            <w:r w:rsidR="000556C5">
              <w:rPr>
                <w:rFonts w:ascii="Source Sans Pro" w:eastAsia="Source Sans Pro" w:hAnsi="Source Sans Pro" w:cs="Times New Roman"/>
              </w:rPr>
              <w:t xml:space="preserve"> (i.e., rental properties)</w:t>
            </w:r>
            <w:r>
              <w:rPr>
                <w:rFonts w:ascii="Source Sans Pro" w:eastAsia="Source Sans Pro" w:hAnsi="Source Sans Pro" w:cs="Times New Roman"/>
              </w:rPr>
              <w:t xml:space="preserve">. Based on our previous discussions with the Ministry of Finance, we understand that there will be updates made to the Credit Unions and Caisses Populaires Act 2020 </w:t>
            </w:r>
            <w:r w:rsidR="00341816">
              <w:rPr>
                <w:rFonts w:ascii="Source Sans Pro" w:eastAsia="Source Sans Pro" w:hAnsi="Source Sans Pro" w:cs="Times New Roman"/>
              </w:rPr>
              <w:t xml:space="preserve">such that the definition </w:t>
            </w:r>
            <w:r w:rsidR="000556C5">
              <w:rPr>
                <w:rFonts w:ascii="Source Sans Pro" w:eastAsia="Source Sans Pro" w:hAnsi="Source Sans Pro" w:cs="Times New Roman"/>
              </w:rPr>
              <w:t xml:space="preserve">in the Act </w:t>
            </w:r>
            <w:r w:rsidR="00341816">
              <w:rPr>
                <w:rFonts w:ascii="Source Sans Pro" w:eastAsia="Source Sans Pro" w:hAnsi="Source Sans Pro" w:cs="Times New Roman"/>
              </w:rPr>
              <w:t xml:space="preserve">will </w:t>
            </w:r>
            <w:r w:rsidR="000556C5">
              <w:rPr>
                <w:rFonts w:ascii="Source Sans Pro" w:eastAsia="Source Sans Pro" w:hAnsi="Source Sans Pro" w:cs="Times New Roman"/>
              </w:rPr>
              <w:t xml:space="preserve">now </w:t>
            </w:r>
            <w:r w:rsidR="00341816">
              <w:rPr>
                <w:rFonts w:ascii="Source Sans Pro" w:eastAsia="Source Sans Pro" w:hAnsi="Source Sans Pro" w:cs="Times New Roman"/>
              </w:rPr>
              <w:t xml:space="preserve">include </w:t>
            </w:r>
            <w:r w:rsidR="000556C5">
              <w:rPr>
                <w:rFonts w:ascii="Source Sans Pro" w:eastAsia="Source Sans Pro" w:hAnsi="Source Sans Pro" w:cs="Times New Roman"/>
              </w:rPr>
              <w:t>non-</w:t>
            </w:r>
            <w:r>
              <w:rPr>
                <w:rFonts w:ascii="Source Sans Pro" w:eastAsia="Source Sans Pro" w:hAnsi="Source Sans Pro" w:cs="Times New Roman"/>
              </w:rPr>
              <w:t>owner</w:t>
            </w:r>
            <w:r w:rsidR="00341816">
              <w:rPr>
                <w:rFonts w:ascii="Source Sans Pro" w:eastAsia="Source Sans Pro" w:hAnsi="Source Sans Pro" w:cs="Times New Roman"/>
              </w:rPr>
              <w:t>-</w:t>
            </w:r>
            <w:r>
              <w:rPr>
                <w:rFonts w:ascii="Source Sans Pro" w:eastAsia="Source Sans Pro" w:hAnsi="Source Sans Pro" w:cs="Times New Roman"/>
              </w:rPr>
              <w:t>occupied</w:t>
            </w:r>
            <w:r w:rsidR="00341816">
              <w:rPr>
                <w:rFonts w:ascii="Source Sans Pro" w:eastAsia="Source Sans Pro" w:hAnsi="Source Sans Pro" w:cs="Times New Roman"/>
              </w:rPr>
              <w:t xml:space="preserve"> pro</w:t>
            </w:r>
            <w:r w:rsidR="00522985">
              <w:rPr>
                <w:rFonts w:ascii="Source Sans Pro" w:eastAsia="Source Sans Pro" w:hAnsi="Source Sans Pro" w:cs="Times New Roman"/>
              </w:rPr>
              <w:t>perties</w:t>
            </w:r>
            <w:r>
              <w:rPr>
                <w:rFonts w:ascii="Source Sans Pro" w:eastAsia="Source Sans Pro" w:hAnsi="Source Sans Pro" w:cs="Times New Roman"/>
              </w:rPr>
              <w:t xml:space="preserve">. </w:t>
            </w:r>
            <w:r w:rsidR="00522985">
              <w:rPr>
                <w:rFonts w:ascii="Source Sans Pro" w:eastAsia="Source Sans Pro" w:hAnsi="Source Sans Pro" w:cs="Times New Roman"/>
              </w:rPr>
              <w:t>Revisions to the Proposed Rule to reflect this anticipated change w</w:t>
            </w:r>
            <w:r>
              <w:rPr>
                <w:rFonts w:ascii="Source Sans Pro" w:eastAsia="Source Sans Pro" w:hAnsi="Source Sans Pro" w:cs="Times New Roman"/>
              </w:rPr>
              <w:t xml:space="preserve">ould also align </w:t>
            </w:r>
            <w:r w:rsidR="004C0BD5">
              <w:rPr>
                <w:rFonts w:ascii="Source Sans Pro" w:eastAsia="Source Sans Pro" w:hAnsi="Source Sans Pro" w:cs="Times New Roman"/>
              </w:rPr>
              <w:t xml:space="preserve">well </w:t>
            </w:r>
            <w:r>
              <w:rPr>
                <w:rFonts w:ascii="Source Sans Pro" w:eastAsia="Source Sans Pro" w:hAnsi="Source Sans Pro" w:cs="Times New Roman"/>
              </w:rPr>
              <w:t>with OSFI guidance.</w:t>
            </w:r>
          </w:p>
          <w:p w14:paraId="3CAE0438" w14:textId="77777777" w:rsidR="00E509A4" w:rsidRPr="00E509A4" w:rsidRDefault="00E509A4" w:rsidP="00E509A4">
            <w:pPr>
              <w:pStyle w:val="ListParagraph"/>
              <w:rPr>
                <w:rFonts w:ascii="Source Sans Pro" w:eastAsia="Source Sans Pro" w:hAnsi="Source Sans Pro" w:cs="Times New Roman"/>
                <w:b/>
                <w:bCs/>
              </w:rPr>
            </w:pPr>
          </w:p>
          <w:p w14:paraId="315854F9" w14:textId="77777777" w:rsidR="00E509A4" w:rsidRDefault="00E509A4" w:rsidP="00E509A4">
            <w:pPr>
              <w:rPr>
                <w:rFonts w:ascii="Source Sans Pro" w:eastAsia="Source Sans Pro" w:hAnsi="Source Sans Pro" w:cs="Times New Roman"/>
                <w:b/>
                <w:bCs/>
              </w:rPr>
            </w:pPr>
            <w:r>
              <w:rPr>
                <w:rFonts w:ascii="Source Sans Pro" w:eastAsia="Source Sans Pro" w:hAnsi="Source Sans Pro" w:cs="Times New Roman"/>
                <w:b/>
                <w:bCs/>
              </w:rPr>
              <w:t>Unintended Consequences and Impact</w:t>
            </w:r>
          </w:p>
          <w:p w14:paraId="4B4CC224" w14:textId="3E8B27EA" w:rsidR="00E509A4" w:rsidRPr="00E509A4" w:rsidRDefault="00E509A4" w:rsidP="00E509A4">
            <w:pPr>
              <w:pStyle w:val="ListParagraph"/>
              <w:numPr>
                <w:ilvl w:val="0"/>
                <w:numId w:val="49"/>
              </w:numPr>
              <w:rPr>
                <w:rFonts w:ascii="Source Sans Pro" w:eastAsia="Source Sans Pro" w:hAnsi="Source Sans Pro" w:cs="Times New Roman"/>
                <w:b/>
                <w:bCs/>
              </w:rPr>
            </w:pPr>
            <w:r>
              <w:rPr>
                <w:rFonts w:ascii="Source Sans Pro" w:eastAsia="Source Sans Pro" w:hAnsi="Source Sans Pro" w:cs="Times New Roman"/>
              </w:rPr>
              <w:t>Currently Credit Unions apply a risk weight</w:t>
            </w:r>
            <w:r w:rsidR="00793063">
              <w:rPr>
                <w:rFonts w:ascii="Source Sans Pro" w:eastAsia="Source Sans Pro" w:hAnsi="Source Sans Pro" w:cs="Times New Roman"/>
              </w:rPr>
              <w:t>ing</w:t>
            </w:r>
            <w:r>
              <w:rPr>
                <w:rFonts w:ascii="Source Sans Pro" w:eastAsia="Source Sans Pro" w:hAnsi="Source Sans Pro" w:cs="Times New Roman"/>
              </w:rPr>
              <w:t xml:space="preserve"> of between 75% to 100% </w:t>
            </w:r>
            <w:r w:rsidR="000556C5">
              <w:rPr>
                <w:rFonts w:ascii="Source Sans Pro" w:eastAsia="Source Sans Pro" w:hAnsi="Source Sans Pro" w:cs="Times New Roman"/>
              </w:rPr>
              <w:t xml:space="preserve">to non-owner-occupied residential properties </w:t>
            </w:r>
            <w:r>
              <w:rPr>
                <w:rFonts w:ascii="Source Sans Pro" w:eastAsia="Source Sans Pro" w:hAnsi="Source Sans Pro" w:cs="Times New Roman"/>
              </w:rPr>
              <w:t xml:space="preserve">depending on the size of the loan which is much more punitive. This is an area where close alignment with OSFI is important to ensure a level playing field for Credit Unions. </w:t>
            </w:r>
          </w:p>
        </w:tc>
      </w:tr>
    </w:tbl>
    <w:p w14:paraId="64B23945" w14:textId="77777777" w:rsidR="004F6E7B" w:rsidRPr="004F6E7B" w:rsidRDefault="004F6E7B" w:rsidP="004F6E7B">
      <w:pPr>
        <w:spacing w:after="0" w:line="240" w:lineRule="auto"/>
        <w:rPr>
          <w:rFonts w:ascii="Source Sans Pro" w:eastAsia="Source Sans Pro" w:hAnsi="Source Sans Pro" w:cs="Times New Roman"/>
        </w:rPr>
      </w:pPr>
    </w:p>
    <w:p w14:paraId="244BEE86" w14:textId="77777777" w:rsidR="00C97A1E" w:rsidRDefault="00B2358F" w:rsidP="008035A0">
      <w:pPr>
        <w:spacing w:after="0" w:line="240" w:lineRule="auto"/>
        <w:rPr>
          <w:rFonts w:ascii="Source Sans Pro" w:eastAsia="Source Sans Pro" w:hAnsi="Source Sans Pro" w:cs="Times New Roman"/>
          <w:b/>
          <w:bCs/>
          <w:color w:val="7030A0"/>
          <w:sz w:val="28"/>
          <w:szCs w:val="28"/>
        </w:rPr>
      </w:pPr>
      <w:r w:rsidRPr="00C42674">
        <w:rPr>
          <w:rFonts w:ascii="Source Sans Pro" w:eastAsia="Source Sans Pro" w:hAnsi="Source Sans Pro" w:cs="Times New Roman"/>
          <w:b/>
          <w:bCs/>
          <w:color w:val="7030A0"/>
          <w:sz w:val="24"/>
          <w:szCs w:val="24"/>
        </w:rPr>
        <w:t xml:space="preserve">Section 4: </w:t>
      </w:r>
      <w:r w:rsidR="00361F57">
        <w:rPr>
          <w:rFonts w:ascii="Source Sans Pro" w:eastAsia="Source Sans Pro" w:hAnsi="Source Sans Pro" w:cs="Times New Roman"/>
          <w:b/>
          <w:bCs/>
          <w:color w:val="7030A0"/>
          <w:sz w:val="24"/>
          <w:szCs w:val="24"/>
        </w:rPr>
        <w:t>Tier 1 Capital</w:t>
      </w:r>
    </w:p>
    <w:p w14:paraId="100A5815" w14:textId="77777777" w:rsidR="00B52F90" w:rsidRDefault="00B52F90" w:rsidP="00AA4F62">
      <w:pPr>
        <w:pStyle w:val="NoSpacing"/>
      </w:pPr>
    </w:p>
    <w:tbl>
      <w:tblPr>
        <w:tblStyle w:val="TableGrid"/>
        <w:tblW w:w="11766" w:type="dxa"/>
        <w:tblInd w:w="-1139" w:type="dxa"/>
        <w:tblLook w:val="04A0" w:firstRow="1" w:lastRow="0" w:firstColumn="1" w:lastColumn="0" w:noHBand="0" w:noVBand="1"/>
      </w:tblPr>
      <w:tblGrid>
        <w:gridCol w:w="1418"/>
        <w:gridCol w:w="10348"/>
      </w:tblGrid>
      <w:tr w:rsidR="00B2358F" w14:paraId="370C189D" w14:textId="77777777" w:rsidTr="00D336AA">
        <w:tc>
          <w:tcPr>
            <w:tcW w:w="1418" w:type="dxa"/>
          </w:tcPr>
          <w:p w14:paraId="77E1E974" w14:textId="77777777" w:rsidR="00B2358F" w:rsidRPr="00A16151" w:rsidRDefault="00D336AA" w:rsidP="008035A0">
            <w:pPr>
              <w:rPr>
                <w:rFonts w:ascii="Source Sans Pro" w:eastAsia="Source Sans Pro" w:hAnsi="Source Sans Pro" w:cs="Times New Roman"/>
                <w:b/>
                <w:bCs/>
              </w:rPr>
            </w:pPr>
            <w:r w:rsidRPr="00A16151">
              <w:rPr>
                <w:rFonts w:ascii="Source Sans Pro" w:eastAsia="Source Sans Pro" w:hAnsi="Source Sans Pro" w:cs="Times New Roman"/>
                <w:b/>
                <w:bCs/>
              </w:rPr>
              <w:t>Section</w:t>
            </w:r>
          </w:p>
        </w:tc>
        <w:tc>
          <w:tcPr>
            <w:tcW w:w="10348" w:type="dxa"/>
          </w:tcPr>
          <w:p w14:paraId="30C60073" w14:textId="77777777" w:rsidR="00B2358F" w:rsidRPr="00A16151" w:rsidRDefault="00D336AA" w:rsidP="008035A0">
            <w:pPr>
              <w:rPr>
                <w:rFonts w:ascii="Source Sans Pro" w:eastAsia="Source Sans Pro" w:hAnsi="Source Sans Pro" w:cs="Times New Roman"/>
                <w:b/>
                <w:bCs/>
              </w:rPr>
            </w:pPr>
            <w:r w:rsidRPr="00A16151">
              <w:rPr>
                <w:rFonts w:ascii="Source Sans Pro" w:eastAsia="Source Sans Pro" w:hAnsi="Source Sans Pro" w:cs="Times New Roman"/>
                <w:b/>
                <w:bCs/>
              </w:rPr>
              <w:t>Comments / Unintended Consequences / Impact</w:t>
            </w:r>
          </w:p>
        </w:tc>
      </w:tr>
      <w:tr w:rsidR="00B2358F" w14:paraId="0B28844B" w14:textId="77777777" w:rsidTr="00D336AA">
        <w:tc>
          <w:tcPr>
            <w:tcW w:w="1418" w:type="dxa"/>
          </w:tcPr>
          <w:p w14:paraId="66191AE5" w14:textId="313BB003" w:rsidR="00B2358F" w:rsidRDefault="00D336AA" w:rsidP="008035A0">
            <w:pPr>
              <w:rPr>
                <w:rFonts w:ascii="Source Sans Pro" w:eastAsia="Source Sans Pro" w:hAnsi="Source Sans Pro" w:cs="Times New Roman"/>
              </w:rPr>
            </w:pPr>
            <w:r>
              <w:rPr>
                <w:rFonts w:ascii="Source Sans Pro" w:eastAsia="Source Sans Pro" w:hAnsi="Source Sans Pro" w:cs="Times New Roman"/>
              </w:rPr>
              <w:t>4(</w:t>
            </w:r>
            <w:r w:rsidR="00513BFF">
              <w:rPr>
                <w:rFonts w:ascii="Source Sans Pro" w:eastAsia="Source Sans Pro" w:hAnsi="Source Sans Pro" w:cs="Times New Roman"/>
              </w:rPr>
              <w:t>5</w:t>
            </w:r>
            <w:r>
              <w:rPr>
                <w:rFonts w:ascii="Source Sans Pro" w:eastAsia="Source Sans Pro" w:hAnsi="Source Sans Pro" w:cs="Times New Roman"/>
              </w:rPr>
              <w:t>)</w:t>
            </w:r>
            <w:r w:rsidR="00003FF1">
              <w:rPr>
                <w:rFonts w:ascii="Source Sans Pro" w:eastAsia="Source Sans Pro" w:hAnsi="Source Sans Pro" w:cs="Times New Roman"/>
              </w:rPr>
              <w:t>(iv)</w:t>
            </w:r>
          </w:p>
        </w:tc>
        <w:tc>
          <w:tcPr>
            <w:tcW w:w="10348" w:type="dxa"/>
          </w:tcPr>
          <w:p w14:paraId="6C29B78D" w14:textId="77777777" w:rsidR="00B2358F" w:rsidRPr="00C97A1E" w:rsidRDefault="00D336AA" w:rsidP="008035A0">
            <w:pPr>
              <w:rPr>
                <w:rFonts w:ascii="Source Sans Pro" w:eastAsia="Source Sans Pro" w:hAnsi="Source Sans Pro" w:cs="Times New Roman"/>
                <w:b/>
                <w:bCs/>
              </w:rPr>
            </w:pPr>
            <w:r w:rsidRPr="00C97A1E">
              <w:rPr>
                <w:rFonts w:ascii="Source Sans Pro" w:eastAsia="Source Sans Pro" w:hAnsi="Source Sans Pro" w:cs="Times New Roman"/>
                <w:b/>
                <w:bCs/>
              </w:rPr>
              <w:t>Commentary</w:t>
            </w:r>
          </w:p>
          <w:p w14:paraId="17739FCD" w14:textId="77777777" w:rsidR="009E32F5" w:rsidRDefault="00C34B26" w:rsidP="00D336AA">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4(4)(iv) states that “</w:t>
            </w:r>
            <w:r w:rsidR="00480A18">
              <w:rPr>
                <w:rFonts w:ascii="Source Sans Pro" w:eastAsia="Source Sans Pro" w:hAnsi="Source Sans Pro" w:cs="Times New Roman"/>
              </w:rPr>
              <w:t>any increase in equity capital resulting from securitization transactions” is deducted from Tier 1 capital</w:t>
            </w:r>
            <w:r w:rsidR="009E32F5">
              <w:rPr>
                <w:rFonts w:ascii="Source Sans Pro" w:eastAsia="Source Sans Pro" w:hAnsi="Source Sans Pro" w:cs="Times New Roman"/>
              </w:rPr>
              <w:t>.</w:t>
            </w:r>
          </w:p>
          <w:p w14:paraId="49C62D73" w14:textId="462888D0" w:rsidR="002A4ACD" w:rsidRDefault="000B5C48" w:rsidP="00D336AA">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There is currently a lack of guidance around </w:t>
            </w:r>
            <w:r w:rsidR="007605B7">
              <w:rPr>
                <w:rFonts w:ascii="Source Sans Pro" w:eastAsia="Source Sans Pro" w:hAnsi="Source Sans Pro" w:cs="Times New Roman"/>
              </w:rPr>
              <w:t xml:space="preserve">the intent of </w:t>
            </w:r>
            <w:r w:rsidR="00C26471">
              <w:rPr>
                <w:rFonts w:ascii="Source Sans Pro" w:eastAsia="Source Sans Pro" w:hAnsi="Source Sans Pro" w:cs="Times New Roman"/>
              </w:rPr>
              <w:t xml:space="preserve">this requirement and scope of application including definition of </w:t>
            </w:r>
            <w:r w:rsidR="00F470C0">
              <w:rPr>
                <w:rFonts w:ascii="Source Sans Pro" w:eastAsia="Source Sans Pro" w:hAnsi="Source Sans Pro" w:cs="Times New Roman"/>
              </w:rPr>
              <w:t xml:space="preserve">“increase in equity capital” and “securitization transaction”. </w:t>
            </w:r>
            <w:r w:rsidR="00326BBA">
              <w:rPr>
                <w:rFonts w:ascii="Source Sans Pro" w:eastAsia="Source Sans Pro" w:hAnsi="Source Sans Pro" w:cs="Times New Roman"/>
              </w:rPr>
              <w:t xml:space="preserve">We strongly believe that gains </w:t>
            </w:r>
            <w:r w:rsidR="009751D7">
              <w:rPr>
                <w:rFonts w:ascii="Source Sans Pro" w:eastAsia="Source Sans Pro" w:hAnsi="Source Sans Pro" w:cs="Times New Roman"/>
              </w:rPr>
              <w:t xml:space="preserve">arising from off-balance sheet </w:t>
            </w:r>
            <w:r w:rsidR="0040192E">
              <w:rPr>
                <w:rFonts w:ascii="Source Sans Pro" w:eastAsia="Source Sans Pro" w:hAnsi="Source Sans Pro" w:cs="Times New Roman"/>
              </w:rPr>
              <w:t xml:space="preserve">CMHC sponsored </w:t>
            </w:r>
            <w:r w:rsidR="00EC3741">
              <w:rPr>
                <w:rFonts w:ascii="Source Sans Pro" w:eastAsia="Source Sans Pro" w:hAnsi="Source Sans Pro" w:cs="Times New Roman"/>
              </w:rPr>
              <w:t xml:space="preserve">securitization transactions </w:t>
            </w:r>
            <w:r w:rsidR="0040192E">
              <w:rPr>
                <w:rFonts w:ascii="Source Sans Pro" w:eastAsia="Source Sans Pro" w:hAnsi="Source Sans Pro" w:cs="Times New Roman"/>
              </w:rPr>
              <w:t>(e.g.</w:t>
            </w:r>
            <w:r w:rsidR="00766EA6">
              <w:rPr>
                <w:rFonts w:ascii="Source Sans Pro" w:eastAsia="Source Sans Pro" w:hAnsi="Source Sans Pro" w:cs="Times New Roman"/>
              </w:rPr>
              <w:t>,</w:t>
            </w:r>
            <w:r w:rsidR="0040192E">
              <w:rPr>
                <w:rFonts w:ascii="Source Sans Pro" w:eastAsia="Source Sans Pro" w:hAnsi="Source Sans Pro" w:cs="Times New Roman"/>
              </w:rPr>
              <w:t xml:space="preserve"> sale of </w:t>
            </w:r>
            <w:r w:rsidR="0040192E">
              <w:rPr>
                <w:rFonts w:ascii="Source Sans Pro" w:eastAsia="Source Sans Pro" w:hAnsi="Source Sans Pro" w:cs="Times New Roman"/>
              </w:rPr>
              <w:lastRenderedPageBreak/>
              <w:t xml:space="preserve">interest-only </w:t>
            </w:r>
            <w:r w:rsidR="00BF7675">
              <w:rPr>
                <w:rFonts w:ascii="Source Sans Pro" w:eastAsia="Source Sans Pro" w:hAnsi="Source Sans Pro" w:cs="Times New Roman"/>
              </w:rPr>
              <w:t xml:space="preserve">strips of single-family residential mortgage pools and </w:t>
            </w:r>
            <w:r w:rsidR="007906F5">
              <w:rPr>
                <w:rFonts w:ascii="Source Sans Pro" w:eastAsia="Source Sans Pro" w:hAnsi="Source Sans Pro" w:cs="Times New Roman"/>
              </w:rPr>
              <w:t>sale of M</w:t>
            </w:r>
            <w:r w:rsidR="00FF6E83">
              <w:rPr>
                <w:rFonts w:ascii="Source Sans Pro" w:eastAsia="Source Sans Pro" w:hAnsi="Source Sans Pro" w:cs="Times New Roman"/>
              </w:rPr>
              <w:t xml:space="preserve">ulti-unit </w:t>
            </w:r>
            <w:r w:rsidR="007906F5">
              <w:rPr>
                <w:rFonts w:ascii="Source Sans Pro" w:eastAsia="Source Sans Pro" w:hAnsi="Source Sans Pro" w:cs="Times New Roman"/>
              </w:rPr>
              <w:t>R</w:t>
            </w:r>
            <w:r w:rsidR="000C54E9">
              <w:rPr>
                <w:rFonts w:ascii="Source Sans Pro" w:eastAsia="Source Sans Pro" w:hAnsi="Source Sans Pro" w:cs="Times New Roman"/>
              </w:rPr>
              <w:t xml:space="preserve">esidential </w:t>
            </w:r>
            <w:r w:rsidR="007906F5">
              <w:rPr>
                <w:rFonts w:ascii="Source Sans Pro" w:eastAsia="Source Sans Pro" w:hAnsi="Source Sans Pro" w:cs="Times New Roman"/>
              </w:rPr>
              <w:t>B</w:t>
            </w:r>
            <w:r w:rsidR="000C54E9">
              <w:rPr>
                <w:rFonts w:ascii="Source Sans Pro" w:eastAsia="Source Sans Pro" w:hAnsi="Source Sans Pro" w:cs="Times New Roman"/>
              </w:rPr>
              <w:t>uilding or MURB</w:t>
            </w:r>
            <w:r w:rsidR="007906F5">
              <w:rPr>
                <w:rFonts w:ascii="Source Sans Pro" w:eastAsia="Source Sans Pro" w:hAnsi="Source Sans Pro" w:cs="Times New Roman"/>
              </w:rPr>
              <w:t xml:space="preserve"> mortgage pools)</w:t>
            </w:r>
            <w:r w:rsidR="008F519B">
              <w:rPr>
                <w:rFonts w:ascii="Source Sans Pro" w:eastAsia="Source Sans Pro" w:hAnsi="Source Sans Pro" w:cs="Times New Roman"/>
              </w:rPr>
              <w:t xml:space="preserve"> should not be </w:t>
            </w:r>
            <w:r w:rsidR="00A409D4">
              <w:rPr>
                <w:rFonts w:ascii="Source Sans Pro" w:eastAsia="Source Sans Pro" w:hAnsi="Source Sans Pro" w:cs="Times New Roman"/>
              </w:rPr>
              <w:t>a deduction from Tier 1 capital given th</w:t>
            </w:r>
            <w:r w:rsidR="00BB3551">
              <w:rPr>
                <w:rFonts w:ascii="Source Sans Pro" w:eastAsia="Source Sans Pro" w:hAnsi="Source Sans Pro" w:cs="Times New Roman"/>
              </w:rPr>
              <w:t>e crystalized nature of these gains wi</w:t>
            </w:r>
            <w:r w:rsidR="00A103BA">
              <w:rPr>
                <w:rFonts w:ascii="Source Sans Pro" w:eastAsia="Source Sans Pro" w:hAnsi="Source Sans Pro" w:cs="Times New Roman"/>
              </w:rPr>
              <w:t>th no variability in future cash flows.</w:t>
            </w:r>
          </w:p>
          <w:p w14:paraId="52CA7489" w14:textId="1C157A5E" w:rsidR="00FA0F1E" w:rsidRDefault="007D7049" w:rsidP="004B0FCC">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In addition, c</w:t>
            </w:r>
            <w:r w:rsidR="002F27F0" w:rsidRPr="004B0FCC">
              <w:rPr>
                <w:rFonts w:ascii="Source Sans Pro" w:eastAsia="Source Sans Pro" w:hAnsi="Source Sans Pro" w:cs="Times New Roman"/>
              </w:rPr>
              <w:t>urrent OSFI guidance (CAR Chapter 7 par</w:t>
            </w:r>
            <w:r w:rsidR="00067EB6">
              <w:rPr>
                <w:rFonts w:ascii="Source Sans Pro" w:eastAsia="Source Sans Pro" w:hAnsi="Source Sans Pro" w:cs="Times New Roman"/>
              </w:rPr>
              <w:t>agraph</w:t>
            </w:r>
            <w:r w:rsidR="002F27F0" w:rsidRPr="004B0FCC">
              <w:rPr>
                <w:rFonts w:ascii="Source Sans Pro" w:eastAsia="Source Sans Pro" w:hAnsi="Source Sans Pro" w:cs="Times New Roman"/>
              </w:rPr>
              <w:t xml:space="preserve"> 3) states that “</w:t>
            </w:r>
            <w:r w:rsidR="004B0FCC" w:rsidRPr="004B0FCC">
              <w:rPr>
                <w:rFonts w:ascii="Source Sans Pro" w:eastAsia="Source Sans Pro" w:hAnsi="Source Sans Pro" w:cs="Times New Roman"/>
              </w:rPr>
              <w:t>f</w:t>
            </w:r>
            <w:r w:rsidR="00B26405" w:rsidRPr="004B0FCC">
              <w:rPr>
                <w:rFonts w:ascii="Source Sans Pro" w:eastAsia="Source Sans Pro" w:hAnsi="Source Sans Pro" w:cs="Times New Roman"/>
              </w:rPr>
              <w:t>or greater clarity, and to ensure consistency with paragraph 5 below, all exposures to</w:t>
            </w:r>
            <w:r w:rsidR="004B0FCC" w:rsidRPr="004B0FCC">
              <w:rPr>
                <w:rFonts w:ascii="Source Sans Pro" w:eastAsia="Source Sans Pro" w:hAnsi="Source Sans Pro" w:cs="Times New Roman"/>
              </w:rPr>
              <w:t xml:space="preserve"> </w:t>
            </w:r>
            <w:r w:rsidR="00B26405" w:rsidRPr="004B0FCC">
              <w:rPr>
                <w:rFonts w:ascii="Source Sans Pro" w:eastAsia="Source Sans Pro" w:hAnsi="Source Sans Pro" w:cs="Times New Roman"/>
              </w:rPr>
              <w:t>mortgage-backed securities that do not involve tranching with associated subordination of credit</w:t>
            </w:r>
            <w:r w:rsidR="004B0FCC">
              <w:rPr>
                <w:rFonts w:ascii="Source Sans Pro" w:eastAsia="Source Sans Pro" w:hAnsi="Source Sans Pro" w:cs="Times New Roman"/>
              </w:rPr>
              <w:t xml:space="preserve"> </w:t>
            </w:r>
            <w:r w:rsidR="00B26405" w:rsidRPr="004B0FCC">
              <w:rPr>
                <w:rFonts w:ascii="Source Sans Pro" w:eastAsia="Source Sans Pro" w:hAnsi="Source Sans Pro" w:cs="Times New Roman"/>
              </w:rPr>
              <w:t>risk (e.g.</w:t>
            </w:r>
            <w:r w:rsidR="00766EA6">
              <w:rPr>
                <w:rFonts w:ascii="Source Sans Pro" w:eastAsia="Source Sans Pro" w:hAnsi="Source Sans Pro" w:cs="Times New Roman"/>
              </w:rPr>
              <w:t>,</w:t>
            </w:r>
            <w:r w:rsidR="00B26405" w:rsidRPr="004B0FCC">
              <w:rPr>
                <w:rFonts w:ascii="Source Sans Pro" w:eastAsia="Source Sans Pro" w:hAnsi="Source Sans Pro" w:cs="Times New Roman"/>
              </w:rPr>
              <w:t xml:space="preserve"> NHA MBS) will not be considered securitization exposures for risk-based capital</w:t>
            </w:r>
            <w:r w:rsidR="004B0FCC">
              <w:rPr>
                <w:rFonts w:ascii="Source Sans Pro" w:eastAsia="Source Sans Pro" w:hAnsi="Source Sans Pro" w:cs="Times New Roman"/>
              </w:rPr>
              <w:t>”</w:t>
            </w:r>
            <w:r w:rsidR="00A56B97">
              <w:rPr>
                <w:rFonts w:ascii="Source Sans Pro" w:eastAsia="Source Sans Pro" w:hAnsi="Source Sans Pro" w:cs="Times New Roman"/>
              </w:rPr>
              <w:t>.</w:t>
            </w:r>
          </w:p>
          <w:p w14:paraId="3BE58ADB" w14:textId="77777777" w:rsidR="004B0FCC" w:rsidRDefault="00047A8A" w:rsidP="004B0FCC">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We are aware of </w:t>
            </w:r>
            <w:r w:rsidR="002A7AE0">
              <w:rPr>
                <w:rFonts w:ascii="Source Sans Pro" w:eastAsia="Source Sans Pro" w:hAnsi="Source Sans Pro" w:cs="Times New Roman"/>
              </w:rPr>
              <w:t xml:space="preserve">current </w:t>
            </w:r>
            <w:r w:rsidR="00652D3A">
              <w:rPr>
                <w:rFonts w:ascii="Source Sans Pro" w:eastAsia="Source Sans Pro" w:hAnsi="Source Sans Pro" w:cs="Times New Roman"/>
              </w:rPr>
              <w:t>practice under OSFI regulated entities where securitization exposures under the NHA MBS</w:t>
            </w:r>
            <w:r w:rsidR="00292637">
              <w:rPr>
                <w:rFonts w:ascii="Source Sans Pro" w:eastAsia="Source Sans Pro" w:hAnsi="Source Sans Pro" w:cs="Times New Roman"/>
              </w:rPr>
              <w:t>/CMB</w:t>
            </w:r>
            <w:r w:rsidR="00005779">
              <w:rPr>
                <w:rFonts w:ascii="Source Sans Pro" w:eastAsia="Source Sans Pro" w:hAnsi="Source Sans Pro" w:cs="Times New Roman"/>
              </w:rPr>
              <w:t xml:space="preserve"> programs </w:t>
            </w:r>
            <w:r w:rsidR="00AC42AD">
              <w:rPr>
                <w:rFonts w:ascii="Source Sans Pro" w:eastAsia="Source Sans Pro" w:hAnsi="Source Sans Pro" w:cs="Times New Roman"/>
              </w:rPr>
              <w:t>receiving 0%</w:t>
            </w:r>
            <w:r w:rsidR="00005779">
              <w:rPr>
                <w:rFonts w:ascii="Source Sans Pro" w:eastAsia="Source Sans Pro" w:hAnsi="Source Sans Pro" w:cs="Times New Roman"/>
              </w:rPr>
              <w:t xml:space="preserve"> risk weight</w:t>
            </w:r>
            <w:r w:rsidR="00AC42AD">
              <w:rPr>
                <w:rFonts w:ascii="Source Sans Pro" w:eastAsia="Source Sans Pro" w:hAnsi="Source Sans Pro" w:cs="Times New Roman"/>
              </w:rPr>
              <w:t>ing</w:t>
            </w:r>
            <w:r w:rsidR="00005779">
              <w:rPr>
                <w:rFonts w:ascii="Source Sans Pro" w:eastAsia="Source Sans Pro" w:hAnsi="Source Sans Pro" w:cs="Times New Roman"/>
              </w:rPr>
              <w:t xml:space="preserve"> and </w:t>
            </w:r>
            <w:r w:rsidR="00AC42AD">
              <w:rPr>
                <w:rFonts w:ascii="Source Sans Pro" w:eastAsia="Source Sans Pro" w:hAnsi="Source Sans Pro" w:cs="Times New Roman"/>
              </w:rPr>
              <w:t xml:space="preserve">related </w:t>
            </w:r>
            <w:r w:rsidR="00A215E0">
              <w:rPr>
                <w:rFonts w:ascii="Source Sans Pro" w:eastAsia="Source Sans Pro" w:hAnsi="Source Sans Pro" w:cs="Times New Roman"/>
              </w:rPr>
              <w:t xml:space="preserve">securitization gains </w:t>
            </w:r>
            <w:r w:rsidR="00786960">
              <w:rPr>
                <w:rFonts w:ascii="Source Sans Pro" w:eastAsia="Source Sans Pro" w:hAnsi="Source Sans Pro" w:cs="Times New Roman"/>
              </w:rPr>
              <w:t xml:space="preserve">are not </w:t>
            </w:r>
            <w:r w:rsidR="004A0D26">
              <w:rPr>
                <w:rFonts w:ascii="Source Sans Pro" w:eastAsia="Source Sans Pro" w:hAnsi="Source Sans Pro" w:cs="Times New Roman"/>
              </w:rPr>
              <w:t>deducted</w:t>
            </w:r>
            <w:r w:rsidR="00786960">
              <w:rPr>
                <w:rFonts w:ascii="Source Sans Pro" w:eastAsia="Source Sans Pro" w:hAnsi="Source Sans Pro" w:cs="Times New Roman"/>
              </w:rPr>
              <w:t xml:space="preserve"> from capital. </w:t>
            </w:r>
          </w:p>
          <w:p w14:paraId="700CBA4A" w14:textId="05BD55C5" w:rsidR="002A7AE0" w:rsidRDefault="002A7AE0" w:rsidP="004B0FCC">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We wish to stress the importance </w:t>
            </w:r>
            <w:r w:rsidR="00E3042C">
              <w:rPr>
                <w:rFonts w:ascii="Source Sans Pro" w:eastAsia="Source Sans Pro" w:hAnsi="Source Sans Pro" w:cs="Times New Roman"/>
              </w:rPr>
              <w:t xml:space="preserve">to the Credit Union sector </w:t>
            </w:r>
            <w:r>
              <w:rPr>
                <w:rFonts w:ascii="Source Sans Pro" w:eastAsia="Source Sans Pro" w:hAnsi="Source Sans Pro" w:cs="Times New Roman"/>
              </w:rPr>
              <w:t xml:space="preserve">of having access </w:t>
            </w:r>
            <w:r w:rsidR="00E3042C">
              <w:rPr>
                <w:rFonts w:ascii="Source Sans Pro" w:eastAsia="Source Sans Pro" w:hAnsi="Source Sans Pro" w:cs="Times New Roman"/>
              </w:rPr>
              <w:t xml:space="preserve">to </w:t>
            </w:r>
            <w:r w:rsidR="00C7039B">
              <w:rPr>
                <w:rFonts w:ascii="Source Sans Pro" w:eastAsia="Source Sans Pro" w:hAnsi="Source Sans Pro" w:cs="Times New Roman"/>
              </w:rPr>
              <w:t>CMHC sponsored securitization</w:t>
            </w:r>
            <w:r w:rsidR="00C2426C">
              <w:rPr>
                <w:rFonts w:ascii="Source Sans Pro" w:eastAsia="Source Sans Pro" w:hAnsi="Source Sans Pro" w:cs="Times New Roman"/>
              </w:rPr>
              <w:t xml:space="preserve"> programs as part of a more diversified </w:t>
            </w:r>
            <w:r w:rsidR="00BC5D1E">
              <w:rPr>
                <w:rFonts w:ascii="Source Sans Pro" w:eastAsia="Source Sans Pro" w:hAnsi="Source Sans Pro" w:cs="Times New Roman"/>
              </w:rPr>
              <w:t>and economic</w:t>
            </w:r>
            <w:r w:rsidR="000556C5">
              <w:rPr>
                <w:rFonts w:ascii="Source Sans Pro" w:eastAsia="Source Sans Pro" w:hAnsi="Source Sans Pro" w:cs="Times New Roman"/>
              </w:rPr>
              <w:t>al</w:t>
            </w:r>
            <w:r w:rsidR="00BC5D1E">
              <w:rPr>
                <w:rFonts w:ascii="Source Sans Pro" w:eastAsia="Source Sans Pro" w:hAnsi="Source Sans Pro" w:cs="Times New Roman"/>
              </w:rPr>
              <w:t xml:space="preserve"> </w:t>
            </w:r>
            <w:r w:rsidR="00C2426C">
              <w:rPr>
                <w:rFonts w:ascii="Source Sans Pro" w:eastAsia="Source Sans Pro" w:hAnsi="Source Sans Pro" w:cs="Times New Roman"/>
              </w:rPr>
              <w:t xml:space="preserve">funding </w:t>
            </w:r>
            <w:r w:rsidR="00E73C21">
              <w:rPr>
                <w:rFonts w:ascii="Source Sans Pro" w:eastAsia="Source Sans Pro" w:hAnsi="Source Sans Pro" w:cs="Times New Roman"/>
              </w:rPr>
              <w:t>channel given limited funding alternatives available to the sector outside of the traditional deposit</w:t>
            </w:r>
            <w:r w:rsidR="00BC5D1E">
              <w:rPr>
                <w:rFonts w:ascii="Source Sans Pro" w:eastAsia="Source Sans Pro" w:hAnsi="Source Sans Pro" w:cs="Times New Roman"/>
              </w:rPr>
              <w:t xml:space="preserve">-taking funding sources. </w:t>
            </w:r>
          </w:p>
          <w:p w14:paraId="335394B5" w14:textId="194042F5" w:rsidR="00CC640C" w:rsidRDefault="00CE1AF4" w:rsidP="004B0FCC">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Our ability to serve members that </w:t>
            </w:r>
            <w:r w:rsidR="00976AC8">
              <w:rPr>
                <w:rFonts w:ascii="Source Sans Pro" w:eastAsia="Source Sans Pro" w:hAnsi="Source Sans Pro" w:cs="Times New Roman"/>
              </w:rPr>
              <w:t xml:space="preserve">require insured and insurable mortgage </w:t>
            </w:r>
            <w:r w:rsidR="00E126CD">
              <w:rPr>
                <w:rFonts w:ascii="Source Sans Pro" w:eastAsia="Source Sans Pro" w:hAnsi="Source Sans Pro" w:cs="Times New Roman"/>
              </w:rPr>
              <w:t xml:space="preserve">products at a market competitive rate </w:t>
            </w:r>
            <w:r w:rsidR="00E30568">
              <w:rPr>
                <w:rFonts w:ascii="Source Sans Pro" w:eastAsia="Source Sans Pro" w:hAnsi="Source Sans Pro" w:cs="Times New Roman"/>
              </w:rPr>
              <w:t xml:space="preserve">is contingent on the ability to </w:t>
            </w:r>
            <w:r w:rsidR="001145DE">
              <w:rPr>
                <w:rFonts w:ascii="Source Sans Pro" w:eastAsia="Source Sans Pro" w:hAnsi="Source Sans Pro" w:cs="Times New Roman"/>
              </w:rPr>
              <w:t>continue to receive</w:t>
            </w:r>
            <w:r w:rsidR="002314CB">
              <w:rPr>
                <w:rFonts w:ascii="Source Sans Pro" w:eastAsia="Source Sans Pro" w:hAnsi="Source Sans Pro" w:cs="Times New Roman"/>
              </w:rPr>
              <w:t xml:space="preserve"> appropriate </w:t>
            </w:r>
            <w:r w:rsidR="00E30568">
              <w:rPr>
                <w:rFonts w:ascii="Source Sans Pro" w:eastAsia="Source Sans Pro" w:hAnsi="Source Sans Pro" w:cs="Times New Roman"/>
              </w:rPr>
              <w:t xml:space="preserve">capital </w:t>
            </w:r>
            <w:r w:rsidR="002314CB">
              <w:rPr>
                <w:rFonts w:ascii="Source Sans Pro" w:eastAsia="Source Sans Pro" w:hAnsi="Source Sans Pro" w:cs="Times New Roman"/>
              </w:rPr>
              <w:t>treatment</w:t>
            </w:r>
            <w:r w:rsidR="00E30B66">
              <w:rPr>
                <w:rFonts w:ascii="Source Sans Pro" w:eastAsia="Source Sans Pro" w:hAnsi="Source Sans Pro" w:cs="Times New Roman"/>
              </w:rPr>
              <w:t>.</w:t>
            </w:r>
            <w:r w:rsidR="002314CB">
              <w:rPr>
                <w:rFonts w:ascii="Source Sans Pro" w:eastAsia="Source Sans Pro" w:hAnsi="Source Sans Pro" w:cs="Times New Roman"/>
              </w:rPr>
              <w:t xml:space="preserve"> </w:t>
            </w:r>
            <w:r w:rsidR="00AE6AC4">
              <w:rPr>
                <w:rFonts w:ascii="Source Sans Pro" w:eastAsia="Source Sans Pro" w:hAnsi="Source Sans Pro" w:cs="Times New Roman"/>
              </w:rPr>
              <w:t xml:space="preserve">In addition, </w:t>
            </w:r>
            <w:r w:rsidR="00A54F33">
              <w:rPr>
                <w:rFonts w:ascii="Source Sans Pro" w:eastAsia="Source Sans Pro" w:hAnsi="Source Sans Pro" w:cs="Times New Roman"/>
              </w:rPr>
              <w:t xml:space="preserve">Credit Unions’ participation in the </w:t>
            </w:r>
            <w:r w:rsidR="00993FF3">
              <w:rPr>
                <w:rFonts w:ascii="Source Sans Pro" w:eastAsia="Source Sans Pro" w:hAnsi="Source Sans Pro" w:cs="Times New Roman"/>
              </w:rPr>
              <w:t xml:space="preserve">funding and sale of MURB </w:t>
            </w:r>
            <w:r w:rsidR="00701CF5">
              <w:rPr>
                <w:rFonts w:ascii="Source Sans Pro" w:eastAsia="Source Sans Pro" w:hAnsi="Source Sans Pro" w:cs="Times New Roman"/>
              </w:rPr>
              <w:t>mortgages</w:t>
            </w:r>
            <w:r w:rsidR="00993FF3">
              <w:rPr>
                <w:rFonts w:ascii="Source Sans Pro" w:eastAsia="Source Sans Pro" w:hAnsi="Source Sans Pro" w:cs="Times New Roman"/>
              </w:rPr>
              <w:t xml:space="preserve"> to </w:t>
            </w:r>
            <w:r w:rsidR="000513A8">
              <w:rPr>
                <w:rFonts w:ascii="Source Sans Pro" w:eastAsia="Source Sans Pro" w:hAnsi="Source Sans Pro" w:cs="Times New Roman"/>
              </w:rPr>
              <w:t xml:space="preserve">CMHC securitization programs add appropriate depth </w:t>
            </w:r>
            <w:r w:rsidR="008A49C7">
              <w:rPr>
                <w:rFonts w:ascii="Source Sans Pro" w:eastAsia="Source Sans Pro" w:hAnsi="Source Sans Pro" w:cs="Times New Roman"/>
              </w:rPr>
              <w:t xml:space="preserve">and liquidity to the market while </w:t>
            </w:r>
            <w:r w:rsidR="004E7502">
              <w:rPr>
                <w:rFonts w:ascii="Source Sans Pro" w:eastAsia="Source Sans Pro" w:hAnsi="Source Sans Pro" w:cs="Times New Roman"/>
              </w:rPr>
              <w:t xml:space="preserve">serving </w:t>
            </w:r>
            <w:r w:rsidR="00357CE6">
              <w:rPr>
                <w:rFonts w:ascii="Source Sans Pro" w:eastAsia="Source Sans Pro" w:hAnsi="Source Sans Pro" w:cs="Times New Roman"/>
              </w:rPr>
              <w:t xml:space="preserve">an </w:t>
            </w:r>
            <w:r w:rsidR="004E7502">
              <w:rPr>
                <w:rFonts w:ascii="Source Sans Pro" w:eastAsia="Source Sans Pro" w:hAnsi="Source Sans Pro" w:cs="Times New Roman"/>
              </w:rPr>
              <w:t xml:space="preserve">important purpose of ensuring affordable housing </w:t>
            </w:r>
            <w:r w:rsidR="00B12DB2">
              <w:rPr>
                <w:rFonts w:ascii="Source Sans Pro" w:eastAsia="Source Sans Pro" w:hAnsi="Source Sans Pro" w:cs="Times New Roman"/>
              </w:rPr>
              <w:t xml:space="preserve">continues to be available for renters, </w:t>
            </w:r>
            <w:proofErr w:type="gramStart"/>
            <w:r w:rsidR="00B12DB2">
              <w:rPr>
                <w:rFonts w:ascii="Source Sans Pro" w:eastAsia="Source Sans Pro" w:hAnsi="Source Sans Pro" w:cs="Times New Roman"/>
              </w:rPr>
              <w:t>seniors</w:t>
            </w:r>
            <w:proofErr w:type="gramEnd"/>
            <w:r w:rsidR="00B12DB2">
              <w:rPr>
                <w:rFonts w:ascii="Source Sans Pro" w:eastAsia="Source Sans Pro" w:hAnsi="Source Sans Pro" w:cs="Times New Roman"/>
              </w:rPr>
              <w:t xml:space="preserve"> </w:t>
            </w:r>
            <w:r w:rsidR="00186E3A">
              <w:rPr>
                <w:rFonts w:ascii="Source Sans Pro" w:eastAsia="Source Sans Pro" w:hAnsi="Source Sans Pro" w:cs="Times New Roman"/>
              </w:rPr>
              <w:t xml:space="preserve">and students. </w:t>
            </w:r>
          </w:p>
          <w:p w14:paraId="50F5EAC2" w14:textId="77777777" w:rsidR="003248E3" w:rsidRDefault="003248E3" w:rsidP="004B0FCC">
            <w:pPr>
              <w:pStyle w:val="ListParagraph"/>
              <w:numPr>
                <w:ilvl w:val="0"/>
                <w:numId w:val="9"/>
              </w:numPr>
              <w:rPr>
                <w:rFonts w:ascii="Source Sans Pro" w:eastAsia="Source Sans Pro" w:hAnsi="Source Sans Pro" w:cs="Times New Roman"/>
              </w:rPr>
            </w:pPr>
            <w:r>
              <w:rPr>
                <w:rFonts w:ascii="Source Sans Pro" w:eastAsia="Source Sans Pro" w:hAnsi="Source Sans Pro" w:cs="Times New Roman"/>
              </w:rPr>
              <w:t xml:space="preserve">We would appreciate </w:t>
            </w:r>
            <w:r w:rsidR="00EE45CE">
              <w:rPr>
                <w:rFonts w:ascii="Source Sans Pro" w:eastAsia="Source Sans Pro" w:hAnsi="Source Sans Pro" w:cs="Times New Roman"/>
              </w:rPr>
              <w:t xml:space="preserve">the </w:t>
            </w:r>
            <w:r>
              <w:rPr>
                <w:rFonts w:ascii="Source Sans Pro" w:eastAsia="Source Sans Pro" w:hAnsi="Source Sans Pro" w:cs="Times New Roman"/>
              </w:rPr>
              <w:t>opportunity to</w:t>
            </w:r>
            <w:r w:rsidR="002036CD">
              <w:rPr>
                <w:rFonts w:ascii="Source Sans Pro" w:eastAsia="Source Sans Pro" w:hAnsi="Source Sans Pro" w:cs="Times New Roman"/>
              </w:rPr>
              <w:t xml:space="preserve"> preview any additional guidance and details to be added to the </w:t>
            </w:r>
            <w:r w:rsidR="00EE6CDC">
              <w:rPr>
                <w:rFonts w:ascii="Source Sans Pro" w:eastAsia="Source Sans Pro" w:hAnsi="Source Sans Pro" w:cs="Times New Roman"/>
              </w:rPr>
              <w:t>Proposed</w:t>
            </w:r>
            <w:r w:rsidR="002036CD">
              <w:rPr>
                <w:rFonts w:ascii="Source Sans Pro" w:eastAsia="Source Sans Pro" w:hAnsi="Source Sans Pro" w:cs="Times New Roman"/>
              </w:rPr>
              <w:t xml:space="preserve"> Rule prior to finalization.</w:t>
            </w:r>
          </w:p>
          <w:p w14:paraId="053BEBC6" w14:textId="77777777" w:rsidR="00345A5F" w:rsidRDefault="00993FF3" w:rsidP="00CC640C">
            <w:pPr>
              <w:pStyle w:val="ListParagraph"/>
              <w:rPr>
                <w:rFonts w:ascii="Source Sans Pro" w:eastAsia="Source Sans Pro" w:hAnsi="Source Sans Pro" w:cs="Times New Roman"/>
              </w:rPr>
            </w:pPr>
            <w:r>
              <w:rPr>
                <w:rFonts w:ascii="Source Sans Pro" w:eastAsia="Source Sans Pro" w:hAnsi="Source Sans Pro" w:cs="Times New Roman"/>
              </w:rPr>
              <w:t xml:space="preserve"> </w:t>
            </w:r>
          </w:p>
          <w:p w14:paraId="66D0AF7E" w14:textId="77777777" w:rsidR="00FA0F1E" w:rsidRPr="00C97A1E" w:rsidRDefault="00FA0F1E" w:rsidP="00FA0F1E">
            <w:pPr>
              <w:rPr>
                <w:rFonts w:ascii="Source Sans Pro" w:eastAsia="Source Sans Pro" w:hAnsi="Source Sans Pro" w:cs="Times New Roman"/>
                <w:b/>
                <w:bCs/>
              </w:rPr>
            </w:pPr>
            <w:r w:rsidRPr="00C97A1E">
              <w:rPr>
                <w:rFonts w:ascii="Source Sans Pro" w:eastAsia="Source Sans Pro" w:hAnsi="Source Sans Pro" w:cs="Times New Roman"/>
                <w:b/>
                <w:bCs/>
              </w:rPr>
              <w:t>Unintended Consequences and Impact</w:t>
            </w:r>
          </w:p>
          <w:p w14:paraId="6EE96730" w14:textId="70738FA2" w:rsidR="00FA0F1E" w:rsidRPr="00FA0F1E" w:rsidRDefault="00416984" w:rsidP="00095FD4">
            <w:pPr>
              <w:pStyle w:val="ListParagraph"/>
              <w:numPr>
                <w:ilvl w:val="0"/>
                <w:numId w:val="10"/>
              </w:numPr>
              <w:rPr>
                <w:rFonts w:ascii="Source Sans Pro" w:eastAsia="Source Sans Pro" w:hAnsi="Source Sans Pro" w:cs="Times New Roman"/>
              </w:rPr>
            </w:pPr>
            <w:r>
              <w:rPr>
                <w:rFonts w:ascii="Source Sans Pro" w:eastAsia="Source Sans Pro" w:hAnsi="Source Sans Pro" w:cs="Times New Roman"/>
              </w:rPr>
              <w:t>Close alignment with OSFI guidance is strongly recommended to ensure a fair and level playing field for the Credit Union sector</w:t>
            </w:r>
            <w:r w:rsidR="00582B29">
              <w:rPr>
                <w:rFonts w:ascii="Source Sans Pro" w:eastAsia="Source Sans Pro" w:hAnsi="Source Sans Pro" w:cs="Times New Roman"/>
              </w:rPr>
              <w:t>.</w:t>
            </w:r>
            <w:r w:rsidR="00095FD4">
              <w:rPr>
                <w:rFonts w:ascii="Source Sans Pro" w:eastAsia="Source Sans Pro" w:hAnsi="Source Sans Pro" w:cs="Times New Roman"/>
              </w:rPr>
              <w:t xml:space="preserve">  Without ensuring a level playing field in this area, it is unlikely </w:t>
            </w:r>
            <w:r w:rsidR="00356C8D">
              <w:rPr>
                <w:rFonts w:ascii="Source Sans Pro" w:eastAsia="Source Sans Pro" w:hAnsi="Source Sans Pro" w:cs="Times New Roman"/>
              </w:rPr>
              <w:t>C</w:t>
            </w:r>
            <w:r w:rsidR="00095FD4">
              <w:rPr>
                <w:rFonts w:ascii="Source Sans Pro" w:eastAsia="Source Sans Pro" w:hAnsi="Source Sans Pro" w:cs="Times New Roman"/>
              </w:rPr>
              <w:t xml:space="preserve">redit </w:t>
            </w:r>
            <w:r w:rsidR="00356C8D">
              <w:rPr>
                <w:rFonts w:ascii="Source Sans Pro" w:eastAsia="Source Sans Pro" w:hAnsi="Source Sans Pro" w:cs="Times New Roman"/>
              </w:rPr>
              <w:t>U</w:t>
            </w:r>
            <w:r w:rsidR="00095FD4">
              <w:rPr>
                <w:rFonts w:ascii="Source Sans Pro" w:eastAsia="Source Sans Pro" w:hAnsi="Source Sans Pro" w:cs="Times New Roman"/>
              </w:rPr>
              <w:t>nions will be able to effectively compete in segments of the insured market, such as originating MURB mortgages.</w:t>
            </w:r>
          </w:p>
        </w:tc>
      </w:tr>
      <w:tr w:rsidR="00E509A4" w14:paraId="4D61F237" w14:textId="77777777" w:rsidTr="00D336AA">
        <w:tc>
          <w:tcPr>
            <w:tcW w:w="1418" w:type="dxa"/>
          </w:tcPr>
          <w:p w14:paraId="53B36399" w14:textId="2680A121" w:rsidR="00E509A4" w:rsidRDefault="00513BFF" w:rsidP="008035A0">
            <w:pPr>
              <w:rPr>
                <w:rFonts w:ascii="Source Sans Pro" w:eastAsia="Source Sans Pro" w:hAnsi="Source Sans Pro" w:cs="Times New Roman"/>
              </w:rPr>
            </w:pPr>
            <w:r>
              <w:rPr>
                <w:rFonts w:ascii="Source Sans Pro" w:eastAsia="Source Sans Pro" w:hAnsi="Source Sans Pro" w:cs="Times New Roman"/>
              </w:rPr>
              <w:lastRenderedPageBreak/>
              <w:t>4(4)</w:t>
            </w:r>
          </w:p>
        </w:tc>
        <w:tc>
          <w:tcPr>
            <w:tcW w:w="10348" w:type="dxa"/>
          </w:tcPr>
          <w:p w14:paraId="1AFF2F28" w14:textId="77777777" w:rsidR="00E509A4" w:rsidRDefault="00513BFF" w:rsidP="008035A0">
            <w:pPr>
              <w:rPr>
                <w:rFonts w:ascii="Source Sans Pro" w:eastAsia="Source Sans Pro" w:hAnsi="Source Sans Pro" w:cs="Times New Roman"/>
                <w:b/>
                <w:bCs/>
              </w:rPr>
            </w:pPr>
            <w:r>
              <w:rPr>
                <w:rFonts w:ascii="Source Sans Pro" w:eastAsia="Source Sans Pro" w:hAnsi="Source Sans Pro" w:cs="Times New Roman"/>
                <w:b/>
                <w:bCs/>
              </w:rPr>
              <w:t>Commentary</w:t>
            </w:r>
          </w:p>
          <w:p w14:paraId="3B6D6698" w14:textId="7C3D5D63" w:rsidR="00513BFF" w:rsidRPr="00513BFF" w:rsidRDefault="00513BFF" w:rsidP="00513BFF">
            <w:pPr>
              <w:pStyle w:val="ListParagraph"/>
              <w:numPr>
                <w:ilvl w:val="0"/>
                <w:numId w:val="10"/>
              </w:numPr>
              <w:rPr>
                <w:rFonts w:ascii="Source Sans Pro" w:eastAsia="Source Sans Pro" w:hAnsi="Source Sans Pro" w:cs="Times New Roman"/>
                <w:b/>
                <w:bCs/>
              </w:rPr>
            </w:pPr>
            <w:r w:rsidRPr="00513BFF">
              <w:rPr>
                <w:rFonts w:ascii="Source Sans Pro" w:eastAsia="Source Sans Pro" w:hAnsi="Source Sans Pro" w:cs="Times New Roman"/>
              </w:rPr>
              <w:t>We appreciate that FSRA has indicated that investment shares will continue to qualify as Tier 1 capital under 4(4). We wish to clarify the capital treatment of dividends on existing and future investments shares issued in the form of additional investment shares of the same class and series</w:t>
            </w:r>
            <w:r w:rsidR="000556C5">
              <w:rPr>
                <w:rFonts w:ascii="Source Sans Pro" w:eastAsia="Source Sans Pro" w:hAnsi="Source Sans Pro" w:cs="Times New Roman"/>
              </w:rPr>
              <w:t>. T</w:t>
            </w:r>
            <w:r w:rsidRPr="00513BFF">
              <w:rPr>
                <w:rFonts w:ascii="Source Sans Pro" w:eastAsia="Source Sans Pro" w:hAnsi="Source Sans Pro" w:cs="Times New Roman"/>
              </w:rPr>
              <w:t xml:space="preserve">he Proposed Rule is currently silent and subject to interpretation. </w:t>
            </w:r>
          </w:p>
          <w:p w14:paraId="5474E57A" w14:textId="360D94FB" w:rsidR="00EB6515" w:rsidRPr="00EF7DE3" w:rsidRDefault="00513BFF" w:rsidP="00796F61">
            <w:pPr>
              <w:pStyle w:val="ListParagraph"/>
              <w:numPr>
                <w:ilvl w:val="0"/>
                <w:numId w:val="10"/>
              </w:numPr>
              <w:rPr>
                <w:rFonts w:ascii="Source Sans Pro" w:eastAsia="Source Sans Pro" w:hAnsi="Source Sans Pro" w:cs="Times New Roman"/>
                <w:b/>
                <w:bCs/>
              </w:rPr>
            </w:pPr>
            <w:r w:rsidRPr="00EF7DE3">
              <w:rPr>
                <w:rFonts w:ascii="Source Sans Pro" w:eastAsia="Source Sans Pro" w:hAnsi="Source Sans Pro" w:cs="Times New Roman"/>
              </w:rPr>
              <w:t xml:space="preserve">We believe that </w:t>
            </w:r>
            <w:r w:rsidR="007219B6" w:rsidRPr="00EF7DE3">
              <w:rPr>
                <w:rFonts w:ascii="Source Sans Pro" w:eastAsia="Source Sans Pro" w:hAnsi="Source Sans Pro" w:cs="Times New Roman"/>
              </w:rPr>
              <w:t xml:space="preserve">share </w:t>
            </w:r>
            <w:r w:rsidRPr="00EF7DE3">
              <w:rPr>
                <w:rFonts w:ascii="Source Sans Pro" w:eastAsia="Source Sans Pro" w:hAnsi="Source Sans Pro" w:cs="Times New Roman"/>
              </w:rPr>
              <w:t xml:space="preserve">dividends should receive the same capital treatment as the related </w:t>
            </w:r>
            <w:r w:rsidR="007219B6" w:rsidRPr="00EF7DE3">
              <w:rPr>
                <w:rFonts w:ascii="Source Sans Pro" w:eastAsia="Source Sans Pro" w:hAnsi="Source Sans Pro" w:cs="Times New Roman"/>
              </w:rPr>
              <w:t xml:space="preserve">underlying </w:t>
            </w:r>
            <w:r w:rsidRPr="00EF7DE3">
              <w:rPr>
                <w:rFonts w:ascii="Source Sans Pro" w:eastAsia="Source Sans Pro" w:hAnsi="Source Sans Pro" w:cs="Times New Roman"/>
              </w:rPr>
              <w:t>investment share</w:t>
            </w:r>
            <w:r w:rsidR="007219B6" w:rsidRPr="00EF7DE3">
              <w:rPr>
                <w:rFonts w:ascii="Source Sans Pro" w:eastAsia="Source Sans Pro" w:hAnsi="Source Sans Pro" w:cs="Times New Roman"/>
              </w:rPr>
              <w:t xml:space="preserve"> series. Given limited capabilities of Credit Unions in raising capital outside of investment share issuance, </w:t>
            </w:r>
            <w:r w:rsidR="00EB6515" w:rsidRPr="00EF7DE3">
              <w:rPr>
                <w:rFonts w:ascii="Source Sans Pro" w:eastAsia="Source Sans Pro" w:hAnsi="Source Sans Pro" w:cs="Times New Roman"/>
              </w:rPr>
              <w:t>exempting</w:t>
            </w:r>
            <w:r w:rsidR="007219B6" w:rsidRPr="00EF7DE3">
              <w:rPr>
                <w:rFonts w:ascii="Source Sans Pro" w:eastAsia="Source Sans Pro" w:hAnsi="Source Sans Pro" w:cs="Times New Roman"/>
              </w:rPr>
              <w:t xml:space="preserve"> share dividends to be treated as new issuance requiring a new holding period of 5 years will ensure the unique </w:t>
            </w:r>
            <w:r w:rsidR="00EB6515" w:rsidRPr="00EF7DE3">
              <w:rPr>
                <w:rFonts w:ascii="Source Sans Pro" w:eastAsia="Source Sans Pro" w:hAnsi="Source Sans Pro" w:cs="Times New Roman"/>
              </w:rPr>
              <w:t>factors and limitations facing our sector is fully recognized.</w:t>
            </w:r>
            <w:r w:rsidR="00B877A5" w:rsidRPr="00EF7DE3">
              <w:rPr>
                <w:rFonts w:ascii="Source Sans Pro" w:eastAsia="Source Sans Pro" w:hAnsi="Source Sans Pro" w:cs="Times New Roman"/>
              </w:rPr>
              <w:t xml:space="preserve"> This approach also </w:t>
            </w:r>
            <w:r w:rsidR="00822583" w:rsidRPr="00EF7DE3">
              <w:rPr>
                <w:rFonts w:ascii="Source Sans Pro" w:eastAsia="Source Sans Pro" w:hAnsi="Source Sans Pro" w:cs="Times New Roman"/>
              </w:rPr>
              <w:t xml:space="preserve">significantly </w:t>
            </w:r>
            <w:r w:rsidR="00B877A5" w:rsidRPr="00EF7DE3">
              <w:rPr>
                <w:rFonts w:ascii="Source Sans Pro" w:eastAsia="Source Sans Pro" w:hAnsi="Source Sans Pro" w:cs="Times New Roman"/>
              </w:rPr>
              <w:t xml:space="preserve">reduces </w:t>
            </w:r>
            <w:r w:rsidR="00822583" w:rsidRPr="00EF7DE3">
              <w:rPr>
                <w:rFonts w:ascii="Source Sans Pro" w:eastAsia="Source Sans Pro" w:hAnsi="Source Sans Pro" w:cs="Times New Roman"/>
              </w:rPr>
              <w:t>one</w:t>
            </w:r>
            <w:r w:rsidR="00B907A6" w:rsidRPr="00EF7DE3">
              <w:rPr>
                <w:rFonts w:ascii="Source Sans Pro" w:eastAsia="Source Sans Pro" w:hAnsi="Source Sans Pro" w:cs="Times New Roman"/>
              </w:rPr>
              <w:t>rous tracking and reporting that is required</w:t>
            </w:r>
            <w:r w:rsidR="00C945E5" w:rsidRPr="00EF7DE3">
              <w:rPr>
                <w:rFonts w:ascii="Source Sans Pro" w:eastAsia="Source Sans Pro" w:hAnsi="Source Sans Pro" w:cs="Times New Roman"/>
              </w:rPr>
              <w:t xml:space="preserve">. </w:t>
            </w:r>
          </w:p>
          <w:p w14:paraId="2400CA69" w14:textId="5F949155" w:rsidR="00EB6515" w:rsidRPr="00513BFF" w:rsidRDefault="00EB6515" w:rsidP="00EB6515">
            <w:pPr>
              <w:pStyle w:val="ListParagraph"/>
              <w:ind w:left="360"/>
              <w:rPr>
                <w:rFonts w:ascii="Source Sans Pro" w:eastAsia="Source Sans Pro" w:hAnsi="Source Sans Pro" w:cs="Times New Roman"/>
                <w:b/>
                <w:bCs/>
              </w:rPr>
            </w:pPr>
          </w:p>
        </w:tc>
      </w:tr>
    </w:tbl>
    <w:p w14:paraId="2C67DB6F" w14:textId="77777777" w:rsidR="00B52F90" w:rsidRDefault="00B52F90" w:rsidP="008035A0">
      <w:pPr>
        <w:spacing w:after="0" w:line="240" w:lineRule="auto"/>
        <w:rPr>
          <w:rFonts w:ascii="Source Sans Pro" w:eastAsia="Source Sans Pro" w:hAnsi="Source Sans Pro" w:cs="Times New Roman"/>
        </w:rPr>
      </w:pPr>
    </w:p>
    <w:sectPr w:rsidR="00B52F90" w:rsidSect="00D0405A">
      <w:headerReference w:type="even" r:id="rId9"/>
      <w:headerReference w:type="default" r:id="rId10"/>
      <w:footerReference w:type="even" r:id="rId11"/>
      <w:footerReference w:type="default" r:id="rId12"/>
      <w:headerReference w:type="first" r:id="rId13"/>
      <w:footerReference w:type="first" r:id="rId14"/>
      <w:pgSz w:w="12240" w:h="15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BFAF" w14:textId="77777777" w:rsidR="00630AE3" w:rsidRDefault="00630AE3" w:rsidP="0015460E">
      <w:pPr>
        <w:spacing w:after="0" w:line="240" w:lineRule="auto"/>
      </w:pPr>
      <w:r>
        <w:separator/>
      </w:r>
    </w:p>
  </w:endnote>
  <w:endnote w:type="continuationSeparator" w:id="0">
    <w:p w14:paraId="066987E5" w14:textId="77777777" w:rsidR="00630AE3" w:rsidRDefault="00630AE3" w:rsidP="00154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37E7" w14:textId="77777777" w:rsidR="004D1FF6" w:rsidRDefault="004D1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373383"/>
      <w:docPartObj>
        <w:docPartGallery w:val="Page Numbers (Bottom of Page)"/>
        <w:docPartUnique/>
      </w:docPartObj>
    </w:sdtPr>
    <w:sdtEndPr>
      <w:rPr>
        <w:noProof/>
      </w:rPr>
    </w:sdtEndPr>
    <w:sdtContent>
      <w:p w14:paraId="5920EE89" w14:textId="77777777" w:rsidR="00EE45CE" w:rsidRDefault="00EE45CE">
        <w:pPr>
          <w:pStyle w:val="Footer"/>
          <w:jc w:val="center"/>
        </w:pPr>
        <w:r>
          <w:fldChar w:fldCharType="begin"/>
        </w:r>
        <w:r>
          <w:instrText xml:space="preserve"> PAGE   \* MERGEFORMAT </w:instrText>
        </w:r>
        <w:r>
          <w:fldChar w:fldCharType="separate"/>
        </w:r>
        <w:r w:rsidR="00361B8D">
          <w:rPr>
            <w:noProof/>
          </w:rPr>
          <w:t>4</w:t>
        </w:r>
        <w:r>
          <w:rPr>
            <w:noProof/>
          </w:rPr>
          <w:fldChar w:fldCharType="end"/>
        </w:r>
      </w:p>
    </w:sdtContent>
  </w:sdt>
  <w:p w14:paraId="5F6BE252" w14:textId="77777777" w:rsidR="00EE45CE" w:rsidRDefault="00EE45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E7CF" w14:textId="77777777" w:rsidR="004D1FF6" w:rsidRDefault="004D1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AD6C" w14:textId="77777777" w:rsidR="00630AE3" w:rsidRDefault="00630AE3" w:rsidP="0015460E">
      <w:pPr>
        <w:spacing w:after="0" w:line="240" w:lineRule="auto"/>
      </w:pPr>
      <w:r>
        <w:separator/>
      </w:r>
    </w:p>
  </w:footnote>
  <w:footnote w:type="continuationSeparator" w:id="0">
    <w:p w14:paraId="6EF53074" w14:textId="77777777" w:rsidR="00630AE3" w:rsidRDefault="00630AE3" w:rsidP="001546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2F2D" w14:textId="77777777" w:rsidR="004D1FF6" w:rsidRDefault="004D1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F25A" w14:textId="57F73996" w:rsidR="004D1FF6" w:rsidRDefault="004D1F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347D" w14:textId="77777777" w:rsidR="004D1FF6" w:rsidRDefault="004D1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F5E"/>
    <w:multiLevelType w:val="hybridMultilevel"/>
    <w:tmpl w:val="ED34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655E8"/>
    <w:multiLevelType w:val="multilevel"/>
    <w:tmpl w:val="D296640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73309"/>
    <w:multiLevelType w:val="hybridMultilevel"/>
    <w:tmpl w:val="520E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F6769"/>
    <w:multiLevelType w:val="hybridMultilevel"/>
    <w:tmpl w:val="E5A6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637D8"/>
    <w:multiLevelType w:val="hybridMultilevel"/>
    <w:tmpl w:val="6CE85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268B8"/>
    <w:multiLevelType w:val="hybridMultilevel"/>
    <w:tmpl w:val="5008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E1C4C"/>
    <w:multiLevelType w:val="hybridMultilevel"/>
    <w:tmpl w:val="9B40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E3329"/>
    <w:multiLevelType w:val="hybridMultilevel"/>
    <w:tmpl w:val="E57A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C4920"/>
    <w:multiLevelType w:val="hybridMultilevel"/>
    <w:tmpl w:val="7AB03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006D3"/>
    <w:multiLevelType w:val="hybridMultilevel"/>
    <w:tmpl w:val="F7E6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13C77"/>
    <w:multiLevelType w:val="hybridMultilevel"/>
    <w:tmpl w:val="C6A6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8E7CFB"/>
    <w:multiLevelType w:val="hybridMultilevel"/>
    <w:tmpl w:val="DF58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904860"/>
    <w:multiLevelType w:val="hybridMultilevel"/>
    <w:tmpl w:val="AF3A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6281E"/>
    <w:multiLevelType w:val="hybridMultilevel"/>
    <w:tmpl w:val="A85C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00E64"/>
    <w:multiLevelType w:val="hybridMultilevel"/>
    <w:tmpl w:val="55FE8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A3244"/>
    <w:multiLevelType w:val="hybridMultilevel"/>
    <w:tmpl w:val="385A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152A5"/>
    <w:multiLevelType w:val="hybridMultilevel"/>
    <w:tmpl w:val="7B26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02685E"/>
    <w:multiLevelType w:val="hybridMultilevel"/>
    <w:tmpl w:val="4774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C2F84"/>
    <w:multiLevelType w:val="hybridMultilevel"/>
    <w:tmpl w:val="330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B395C"/>
    <w:multiLevelType w:val="hybridMultilevel"/>
    <w:tmpl w:val="AA6C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2E6B12"/>
    <w:multiLevelType w:val="hybridMultilevel"/>
    <w:tmpl w:val="DEE0D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500CD0"/>
    <w:multiLevelType w:val="hybridMultilevel"/>
    <w:tmpl w:val="7D26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632BE"/>
    <w:multiLevelType w:val="hybridMultilevel"/>
    <w:tmpl w:val="65CE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95CA1"/>
    <w:multiLevelType w:val="hybridMultilevel"/>
    <w:tmpl w:val="C918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F2699"/>
    <w:multiLevelType w:val="hybridMultilevel"/>
    <w:tmpl w:val="04523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1B627F3"/>
    <w:multiLevelType w:val="hybridMultilevel"/>
    <w:tmpl w:val="C490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14E58"/>
    <w:multiLevelType w:val="hybridMultilevel"/>
    <w:tmpl w:val="7F9C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4554C"/>
    <w:multiLevelType w:val="hybridMultilevel"/>
    <w:tmpl w:val="4A9C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916C3A"/>
    <w:multiLevelType w:val="hybridMultilevel"/>
    <w:tmpl w:val="58F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887FEC"/>
    <w:multiLevelType w:val="hybridMultilevel"/>
    <w:tmpl w:val="87741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30006E"/>
    <w:multiLevelType w:val="hybridMultilevel"/>
    <w:tmpl w:val="586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137C2A"/>
    <w:multiLevelType w:val="hybridMultilevel"/>
    <w:tmpl w:val="3EEE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5E10AA"/>
    <w:multiLevelType w:val="hybridMultilevel"/>
    <w:tmpl w:val="1EF2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297306"/>
    <w:multiLevelType w:val="hybridMultilevel"/>
    <w:tmpl w:val="0E84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E7DEB"/>
    <w:multiLevelType w:val="hybridMultilevel"/>
    <w:tmpl w:val="E766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8563C"/>
    <w:multiLevelType w:val="hybridMultilevel"/>
    <w:tmpl w:val="1ACC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0D5FFB"/>
    <w:multiLevelType w:val="hybridMultilevel"/>
    <w:tmpl w:val="E274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D4A45"/>
    <w:multiLevelType w:val="hybridMultilevel"/>
    <w:tmpl w:val="E1BE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665974"/>
    <w:multiLevelType w:val="hybridMultilevel"/>
    <w:tmpl w:val="168C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AE52F2"/>
    <w:multiLevelType w:val="hybridMultilevel"/>
    <w:tmpl w:val="C444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DC50D1"/>
    <w:multiLevelType w:val="hybridMultilevel"/>
    <w:tmpl w:val="6E4CD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956F3C"/>
    <w:multiLevelType w:val="hybridMultilevel"/>
    <w:tmpl w:val="5F58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35E00"/>
    <w:multiLevelType w:val="hybridMultilevel"/>
    <w:tmpl w:val="FBB02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676B35"/>
    <w:multiLevelType w:val="hybridMultilevel"/>
    <w:tmpl w:val="598A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8E7BB3"/>
    <w:multiLevelType w:val="hybridMultilevel"/>
    <w:tmpl w:val="5E06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AD33E4"/>
    <w:multiLevelType w:val="hybridMultilevel"/>
    <w:tmpl w:val="D7EA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481189"/>
    <w:multiLevelType w:val="hybridMultilevel"/>
    <w:tmpl w:val="149AB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797A04"/>
    <w:multiLevelType w:val="hybridMultilevel"/>
    <w:tmpl w:val="77F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021C88"/>
    <w:multiLevelType w:val="hybridMultilevel"/>
    <w:tmpl w:val="66FC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C225F"/>
    <w:multiLevelType w:val="hybridMultilevel"/>
    <w:tmpl w:val="796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2"/>
  </w:num>
  <w:num w:numId="3">
    <w:abstractNumId w:val="33"/>
  </w:num>
  <w:num w:numId="4">
    <w:abstractNumId w:val="16"/>
  </w:num>
  <w:num w:numId="5">
    <w:abstractNumId w:val="29"/>
  </w:num>
  <w:num w:numId="6">
    <w:abstractNumId w:val="22"/>
  </w:num>
  <w:num w:numId="7">
    <w:abstractNumId w:val="48"/>
  </w:num>
  <w:num w:numId="8">
    <w:abstractNumId w:val="44"/>
  </w:num>
  <w:num w:numId="9">
    <w:abstractNumId w:val="35"/>
  </w:num>
  <w:num w:numId="10">
    <w:abstractNumId w:val="34"/>
  </w:num>
  <w:num w:numId="11">
    <w:abstractNumId w:val="20"/>
  </w:num>
  <w:num w:numId="12">
    <w:abstractNumId w:val="27"/>
  </w:num>
  <w:num w:numId="13">
    <w:abstractNumId w:val="7"/>
  </w:num>
  <w:num w:numId="14">
    <w:abstractNumId w:val="0"/>
  </w:num>
  <w:num w:numId="15">
    <w:abstractNumId w:val="14"/>
  </w:num>
  <w:num w:numId="16">
    <w:abstractNumId w:val="4"/>
  </w:num>
  <w:num w:numId="17">
    <w:abstractNumId w:val="6"/>
  </w:num>
  <w:num w:numId="18">
    <w:abstractNumId w:val="25"/>
  </w:num>
  <w:num w:numId="19">
    <w:abstractNumId w:val="43"/>
  </w:num>
  <w:num w:numId="20">
    <w:abstractNumId w:val="39"/>
  </w:num>
  <w:num w:numId="21">
    <w:abstractNumId w:val="41"/>
  </w:num>
  <w:num w:numId="22">
    <w:abstractNumId w:val="31"/>
  </w:num>
  <w:num w:numId="23">
    <w:abstractNumId w:val="38"/>
  </w:num>
  <w:num w:numId="24">
    <w:abstractNumId w:val="11"/>
  </w:num>
  <w:num w:numId="25">
    <w:abstractNumId w:val="13"/>
  </w:num>
  <w:num w:numId="26">
    <w:abstractNumId w:val="49"/>
  </w:num>
  <w:num w:numId="27">
    <w:abstractNumId w:val="2"/>
  </w:num>
  <w:num w:numId="28">
    <w:abstractNumId w:val="37"/>
  </w:num>
  <w:num w:numId="29">
    <w:abstractNumId w:val="3"/>
  </w:num>
  <w:num w:numId="30">
    <w:abstractNumId w:val="46"/>
  </w:num>
  <w:num w:numId="31">
    <w:abstractNumId w:val="40"/>
  </w:num>
  <w:num w:numId="32">
    <w:abstractNumId w:val="12"/>
  </w:num>
  <w:num w:numId="33">
    <w:abstractNumId w:val="36"/>
  </w:num>
  <w:num w:numId="34">
    <w:abstractNumId w:val="30"/>
  </w:num>
  <w:num w:numId="35">
    <w:abstractNumId w:val="19"/>
  </w:num>
  <w:num w:numId="36">
    <w:abstractNumId w:val="47"/>
  </w:num>
  <w:num w:numId="37">
    <w:abstractNumId w:val="17"/>
  </w:num>
  <w:num w:numId="38">
    <w:abstractNumId w:val="8"/>
  </w:num>
  <w:num w:numId="39">
    <w:abstractNumId w:val="9"/>
  </w:num>
  <w:num w:numId="40">
    <w:abstractNumId w:val="10"/>
  </w:num>
  <w:num w:numId="41">
    <w:abstractNumId w:val="15"/>
  </w:num>
  <w:num w:numId="42">
    <w:abstractNumId w:val="21"/>
  </w:num>
  <w:num w:numId="43">
    <w:abstractNumId w:val="28"/>
  </w:num>
  <w:num w:numId="44">
    <w:abstractNumId w:val="26"/>
  </w:num>
  <w:num w:numId="45">
    <w:abstractNumId w:val="5"/>
  </w:num>
  <w:num w:numId="46">
    <w:abstractNumId w:val="18"/>
  </w:num>
  <w:num w:numId="47">
    <w:abstractNumId w:val="24"/>
  </w:num>
  <w:num w:numId="48">
    <w:abstractNumId w:val="42"/>
  </w:num>
  <w:num w:numId="49">
    <w:abstractNumId w:val="2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55B"/>
    <w:rsid w:val="00000824"/>
    <w:rsid w:val="00000D31"/>
    <w:rsid w:val="00003A1A"/>
    <w:rsid w:val="00003FF1"/>
    <w:rsid w:val="00005304"/>
    <w:rsid w:val="00005779"/>
    <w:rsid w:val="0000681E"/>
    <w:rsid w:val="00010788"/>
    <w:rsid w:val="00010B01"/>
    <w:rsid w:val="00012258"/>
    <w:rsid w:val="000161F0"/>
    <w:rsid w:val="0001718A"/>
    <w:rsid w:val="0002142E"/>
    <w:rsid w:val="00022B3F"/>
    <w:rsid w:val="000244F8"/>
    <w:rsid w:val="00032E31"/>
    <w:rsid w:val="00041F89"/>
    <w:rsid w:val="000445A6"/>
    <w:rsid w:val="00047A8A"/>
    <w:rsid w:val="000513A8"/>
    <w:rsid w:val="000556C5"/>
    <w:rsid w:val="00060848"/>
    <w:rsid w:val="00067630"/>
    <w:rsid w:val="00067EB6"/>
    <w:rsid w:val="00071418"/>
    <w:rsid w:val="00072F87"/>
    <w:rsid w:val="000730D8"/>
    <w:rsid w:val="00075E9D"/>
    <w:rsid w:val="00077167"/>
    <w:rsid w:val="00081077"/>
    <w:rsid w:val="00084A01"/>
    <w:rsid w:val="0009111D"/>
    <w:rsid w:val="00094B57"/>
    <w:rsid w:val="00095FD4"/>
    <w:rsid w:val="00096711"/>
    <w:rsid w:val="000A0250"/>
    <w:rsid w:val="000B252B"/>
    <w:rsid w:val="000B5C48"/>
    <w:rsid w:val="000C0984"/>
    <w:rsid w:val="000C43C7"/>
    <w:rsid w:val="000C4866"/>
    <w:rsid w:val="000C54E9"/>
    <w:rsid w:val="000D2402"/>
    <w:rsid w:val="000D40C0"/>
    <w:rsid w:val="000D44ED"/>
    <w:rsid w:val="000E1D6D"/>
    <w:rsid w:val="000E1F8C"/>
    <w:rsid w:val="000E2F11"/>
    <w:rsid w:val="000E3AF5"/>
    <w:rsid w:val="000E7064"/>
    <w:rsid w:val="000F2EBC"/>
    <w:rsid w:val="000F3BAB"/>
    <w:rsid w:val="000F574C"/>
    <w:rsid w:val="000F6F21"/>
    <w:rsid w:val="000F7271"/>
    <w:rsid w:val="0010178D"/>
    <w:rsid w:val="00102F7B"/>
    <w:rsid w:val="00103E99"/>
    <w:rsid w:val="001145DE"/>
    <w:rsid w:val="001228A5"/>
    <w:rsid w:val="001235E7"/>
    <w:rsid w:val="00123F31"/>
    <w:rsid w:val="0012451C"/>
    <w:rsid w:val="001303E1"/>
    <w:rsid w:val="00133371"/>
    <w:rsid w:val="00134204"/>
    <w:rsid w:val="001345B0"/>
    <w:rsid w:val="00134C32"/>
    <w:rsid w:val="0013511C"/>
    <w:rsid w:val="0013518B"/>
    <w:rsid w:val="0013677D"/>
    <w:rsid w:val="00141014"/>
    <w:rsid w:val="0014135B"/>
    <w:rsid w:val="001440A9"/>
    <w:rsid w:val="001449E4"/>
    <w:rsid w:val="00146B6B"/>
    <w:rsid w:val="0014702E"/>
    <w:rsid w:val="0015460E"/>
    <w:rsid w:val="00161945"/>
    <w:rsid w:val="00162FD9"/>
    <w:rsid w:val="00165898"/>
    <w:rsid w:val="00172652"/>
    <w:rsid w:val="00181216"/>
    <w:rsid w:val="00184E8F"/>
    <w:rsid w:val="00186E3A"/>
    <w:rsid w:val="00190C23"/>
    <w:rsid w:val="001966F8"/>
    <w:rsid w:val="001A0EC7"/>
    <w:rsid w:val="001A3D08"/>
    <w:rsid w:val="001B2E53"/>
    <w:rsid w:val="001B7D2C"/>
    <w:rsid w:val="001C0E74"/>
    <w:rsid w:val="001C408C"/>
    <w:rsid w:val="001D1AF7"/>
    <w:rsid w:val="001D6394"/>
    <w:rsid w:val="001E59E4"/>
    <w:rsid w:val="001E62B5"/>
    <w:rsid w:val="001E6333"/>
    <w:rsid w:val="001F3E0B"/>
    <w:rsid w:val="001F40BC"/>
    <w:rsid w:val="002015DA"/>
    <w:rsid w:val="002036CD"/>
    <w:rsid w:val="00213CE1"/>
    <w:rsid w:val="00217D10"/>
    <w:rsid w:val="00222F27"/>
    <w:rsid w:val="00230549"/>
    <w:rsid w:val="002314CB"/>
    <w:rsid w:val="00240B4F"/>
    <w:rsid w:val="002414AC"/>
    <w:rsid w:val="00241A97"/>
    <w:rsid w:val="0024614E"/>
    <w:rsid w:val="00250BA9"/>
    <w:rsid w:val="00251391"/>
    <w:rsid w:val="00252BB8"/>
    <w:rsid w:val="0025778F"/>
    <w:rsid w:val="002605E5"/>
    <w:rsid w:val="00261531"/>
    <w:rsid w:val="002620F3"/>
    <w:rsid w:val="00262B2B"/>
    <w:rsid w:val="00266649"/>
    <w:rsid w:val="0026728B"/>
    <w:rsid w:val="002677A3"/>
    <w:rsid w:val="002703E9"/>
    <w:rsid w:val="00276579"/>
    <w:rsid w:val="00276CB3"/>
    <w:rsid w:val="00280EA2"/>
    <w:rsid w:val="002846DA"/>
    <w:rsid w:val="0028549B"/>
    <w:rsid w:val="00286520"/>
    <w:rsid w:val="00287007"/>
    <w:rsid w:val="002870D6"/>
    <w:rsid w:val="00292637"/>
    <w:rsid w:val="00293C6B"/>
    <w:rsid w:val="00297013"/>
    <w:rsid w:val="002A31C2"/>
    <w:rsid w:val="002A4ACD"/>
    <w:rsid w:val="002A625A"/>
    <w:rsid w:val="002A7138"/>
    <w:rsid w:val="002A7AE0"/>
    <w:rsid w:val="002B48CF"/>
    <w:rsid w:val="002B55B0"/>
    <w:rsid w:val="002B7015"/>
    <w:rsid w:val="002C1A36"/>
    <w:rsid w:val="002C2124"/>
    <w:rsid w:val="002C710C"/>
    <w:rsid w:val="002C7698"/>
    <w:rsid w:val="002D21B3"/>
    <w:rsid w:val="002D4D35"/>
    <w:rsid w:val="002D4F68"/>
    <w:rsid w:val="002D56C1"/>
    <w:rsid w:val="002D6452"/>
    <w:rsid w:val="002D7123"/>
    <w:rsid w:val="002E039E"/>
    <w:rsid w:val="002E15AB"/>
    <w:rsid w:val="002E2178"/>
    <w:rsid w:val="002E2666"/>
    <w:rsid w:val="002E503B"/>
    <w:rsid w:val="002E50FF"/>
    <w:rsid w:val="002E5365"/>
    <w:rsid w:val="002E5A05"/>
    <w:rsid w:val="002E5ED4"/>
    <w:rsid w:val="002F0FA3"/>
    <w:rsid w:val="002F27F0"/>
    <w:rsid w:val="002F5E7D"/>
    <w:rsid w:val="0030149C"/>
    <w:rsid w:val="00313EBD"/>
    <w:rsid w:val="003144E0"/>
    <w:rsid w:val="00316C6E"/>
    <w:rsid w:val="00320741"/>
    <w:rsid w:val="003236AB"/>
    <w:rsid w:val="003246D2"/>
    <w:rsid w:val="003248E3"/>
    <w:rsid w:val="00324E3B"/>
    <w:rsid w:val="00326BBA"/>
    <w:rsid w:val="00326C06"/>
    <w:rsid w:val="00327489"/>
    <w:rsid w:val="00332F00"/>
    <w:rsid w:val="0033304E"/>
    <w:rsid w:val="003370EF"/>
    <w:rsid w:val="00341502"/>
    <w:rsid w:val="00341816"/>
    <w:rsid w:val="00342662"/>
    <w:rsid w:val="003433DB"/>
    <w:rsid w:val="0034445F"/>
    <w:rsid w:val="00344757"/>
    <w:rsid w:val="00345A5F"/>
    <w:rsid w:val="00347C83"/>
    <w:rsid w:val="003513A1"/>
    <w:rsid w:val="00352204"/>
    <w:rsid w:val="003545D3"/>
    <w:rsid w:val="00356C8D"/>
    <w:rsid w:val="00357CE6"/>
    <w:rsid w:val="00361494"/>
    <w:rsid w:val="00361B8D"/>
    <w:rsid w:val="00361F57"/>
    <w:rsid w:val="00363C2A"/>
    <w:rsid w:val="00363E4C"/>
    <w:rsid w:val="0036471B"/>
    <w:rsid w:val="00371B0B"/>
    <w:rsid w:val="00372722"/>
    <w:rsid w:val="0037446E"/>
    <w:rsid w:val="00374E2D"/>
    <w:rsid w:val="00383B92"/>
    <w:rsid w:val="003850E3"/>
    <w:rsid w:val="00386A6C"/>
    <w:rsid w:val="00391C1E"/>
    <w:rsid w:val="003923C7"/>
    <w:rsid w:val="00395F1B"/>
    <w:rsid w:val="00396E2C"/>
    <w:rsid w:val="003A24F2"/>
    <w:rsid w:val="003A337F"/>
    <w:rsid w:val="003A4074"/>
    <w:rsid w:val="003B07C3"/>
    <w:rsid w:val="003B35C5"/>
    <w:rsid w:val="003B74B9"/>
    <w:rsid w:val="003B7B3E"/>
    <w:rsid w:val="003C42EB"/>
    <w:rsid w:val="003C5578"/>
    <w:rsid w:val="003C5D0E"/>
    <w:rsid w:val="003C6923"/>
    <w:rsid w:val="003C7186"/>
    <w:rsid w:val="003D0356"/>
    <w:rsid w:val="003D3751"/>
    <w:rsid w:val="003D560B"/>
    <w:rsid w:val="003D6425"/>
    <w:rsid w:val="003D7940"/>
    <w:rsid w:val="003D7DED"/>
    <w:rsid w:val="003E057A"/>
    <w:rsid w:val="003E1CA5"/>
    <w:rsid w:val="003E46B3"/>
    <w:rsid w:val="003E555B"/>
    <w:rsid w:val="003F0087"/>
    <w:rsid w:val="003F0118"/>
    <w:rsid w:val="003F0326"/>
    <w:rsid w:val="003F0595"/>
    <w:rsid w:val="003F0D3C"/>
    <w:rsid w:val="003F626B"/>
    <w:rsid w:val="003F6F00"/>
    <w:rsid w:val="0040067F"/>
    <w:rsid w:val="0040192E"/>
    <w:rsid w:val="00402C19"/>
    <w:rsid w:val="00402C33"/>
    <w:rsid w:val="00411580"/>
    <w:rsid w:val="004116E6"/>
    <w:rsid w:val="00416984"/>
    <w:rsid w:val="00417AB0"/>
    <w:rsid w:val="00417E6B"/>
    <w:rsid w:val="004203C7"/>
    <w:rsid w:val="004203E3"/>
    <w:rsid w:val="00421484"/>
    <w:rsid w:val="004218E2"/>
    <w:rsid w:val="00421A1A"/>
    <w:rsid w:val="00422EA5"/>
    <w:rsid w:val="00425AEB"/>
    <w:rsid w:val="004319E0"/>
    <w:rsid w:val="00431E4A"/>
    <w:rsid w:val="00435270"/>
    <w:rsid w:val="0044066C"/>
    <w:rsid w:val="00441E93"/>
    <w:rsid w:val="00443701"/>
    <w:rsid w:val="004446E9"/>
    <w:rsid w:val="00446B10"/>
    <w:rsid w:val="0044770F"/>
    <w:rsid w:val="00450936"/>
    <w:rsid w:val="00450FB2"/>
    <w:rsid w:val="00451076"/>
    <w:rsid w:val="00465E57"/>
    <w:rsid w:val="00471744"/>
    <w:rsid w:val="00474344"/>
    <w:rsid w:val="00477510"/>
    <w:rsid w:val="00480A18"/>
    <w:rsid w:val="00491905"/>
    <w:rsid w:val="0049436D"/>
    <w:rsid w:val="00496834"/>
    <w:rsid w:val="00497543"/>
    <w:rsid w:val="004A0D26"/>
    <w:rsid w:val="004A185B"/>
    <w:rsid w:val="004A340E"/>
    <w:rsid w:val="004B009B"/>
    <w:rsid w:val="004B0FCC"/>
    <w:rsid w:val="004C0BD5"/>
    <w:rsid w:val="004C1295"/>
    <w:rsid w:val="004D1FF6"/>
    <w:rsid w:val="004D51C4"/>
    <w:rsid w:val="004D57C2"/>
    <w:rsid w:val="004E006D"/>
    <w:rsid w:val="004E09DD"/>
    <w:rsid w:val="004E0B62"/>
    <w:rsid w:val="004E2EE5"/>
    <w:rsid w:val="004E4500"/>
    <w:rsid w:val="004E4637"/>
    <w:rsid w:val="004E6011"/>
    <w:rsid w:val="004E7502"/>
    <w:rsid w:val="004F1417"/>
    <w:rsid w:val="004F1887"/>
    <w:rsid w:val="004F2B34"/>
    <w:rsid w:val="004F6E7B"/>
    <w:rsid w:val="005008B0"/>
    <w:rsid w:val="005044D2"/>
    <w:rsid w:val="00513BFF"/>
    <w:rsid w:val="0051524E"/>
    <w:rsid w:val="00517ED9"/>
    <w:rsid w:val="00522540"/>
    <w:rsid w:val="0052257A"/>
    <w:rsid w:val="00522985"/>
    <w:rsid w:val="00523909"/>
    <w:rsid w:val="0052688B"/>
    <w:rsid w:val="005320BA"/>
    <w:rsid w:val="00535B7D"/>
    <w:rsid w:val="00535C02"/>
    <w:rsid w:val="0053784D"/>
    <w:rsid w:val="00541169"/>
    <w:rsid w:val="00541FEC"/>
    <w:rsid w:val="00542BB4"/>
    <w:rsid w:val="00550456"/>
    <w:rsid w:val="00562834"/>
    <w:rsid w:val="00562F9A"/>
    <w:rsid w:val="005653AC"/>
    <w:rsid w:val="005657F3"/>
    <w:rsid w:val="00573753"/>
    <w:rsid w:val="00573CD4"/>
    <w:rsid w:val="00576EDD"/>
    <w:rsid w:val="00582B29"/>
    <w:rsid w:val="00583241"/>
    <w:rsid w:val="005835E8"/>
    <w:rsid w:val="00594CB5"/>
    <w:rsid w:val="0059595F"/>
    <w:rsid w:val="005A1080"/>
    <w:rsid w:val="005A2C2C"/>
    <w:rsid w:val="005A5FCD"/>
    <w:rsid w:val="005B2868"/>
    <w:rsid w:val="005B4E25"/>
    <w:rsid w:val="005B4EB2"/>
    <w:rsid w:val="005C0A14"/>
    <w:rsid w:val="005C2519"/>
    <w:rsid w:val="005C4E65"/>
    <w:rsid w:val="005D0DC5"/>
    <w:rsid w:val="005D1285"/>
    <w:rsid w:val="005D22A3"/>
    <w:rsid w:val="005D2D35"/>
    <w:rsid w:val="005D2FB9"/>
    <w:rsid w:val="005D6417"/>
    <w:rsid w:val="005D6ACD"/>
    <w:rsid w:val="005E1F2A"/>
    <w:rsid w:val="005E312F"/>
    <w:rsid w:val="005F27A4"/>
    <w:rsid w:val="005F2C90"/>
    <w:rsid w:val="005F2FF6"/>
    <w:rsid w:val="005F64B2"/>
    <w:rsid w:val="00603BB1"/>
    <w:rsid w:val="0061630F"/>
    <w:rsid w:val="00617BFA"/>
    <w:rsid w:val="00620FB9"/>
    <w:rsid w:val="0062390D"/>
    <w:rsid w:val="00624ED5"/>
    <w:rsid w:val="00630AE3"/>
    <w:rsid w:val="00632846"/>
    <w:rsid w:val="006334CE"/>
    <w:rsid w:val="00636A16"/>
    <w:rsid w:val="00636DD6"/>
    <w:rsid w:val="00650B36"/>
    <w:rsid w:val="00652D3A"/>
    <w:rsid w:val="00653171"/>
    <w:rsid w:val="006537CA"/>
    <w:rsid w:val="006548CC"/>
    <w:rsid w:val="00656FC7"/>
    <w:rsid w:val="00663F92"/>
    <w:rsid w:val="00667897"/>
    <w:rsid w:val="0067021E"/>
    <w:rsid w:val="00672A78"/>
    <w:rsid w:val="00676FE2"/>
    <w:rsid w:val="00682195"/>
    <w:rsid w:val="006830E2"/>
    <w:rsid w:val="00683531"/>
    <w:rsid w:val="006861D9"/>
    <w:rsid w:val="00687056"/>
    <w:rsid w:val="0069706A"/>
    <w:rsid w:val="00697767"/>
    <w:rsid w:val="006A1761"/>
    <w:rsid w:val="006A1D2B"/>
    <w:rsid w:val="006A310A"/>
    <w:rsid w:val="006B7566"/>
    <w:rsid w:val="006C0745"/>
    <w:rsid w:val="006C18D6"/>
    <w:rsid w:val="006D04EB"/>
    <w:rsid w:val="006D07AF"/>
    <w:rsid w:val="006D508E"/>
    <w:rsid w:val="006D5A8B"/>
    <w:rsid w:val="006E37C5"/>
    <w:rsid w:val="006E4658"/>
    <w:rsid w:val="006E4F02"/>
    <w:rsid w:val="006E5555"/>
    <w:rsid w:val="006E6C53"/>
    <w:rsid w:val="006E6EBE"/>
    <w:rsid w:val="006F1EE6"/>
    <w:rsid w:val="006F20B9"/>
    <w:rsid w:val="006F2737"/>
    <w:rsid w:val="006F2F35"/>
    <w:rsid w:val="006F636C"/>
    <w:rsid w:val="006F75AB"/>
    <w:rsid w:val="00700138"/>
    <w:rsid w:val="00701CF5"/>
    <w:rsid w:val="0070233A"/>
    <w:rsid w:val="00702543"/>
    <w:rsid w:val="0070524E"/>
    <w:rsid w:val="00710759"/>
    <w:rsid w:val="00711A37"/>
    <w:rsid w:val="00717C8D"/>
    <w:rsid w:val="007202E5"/>
    <w:rsid w:val="0072067C"/>
    <w:rsid w:val="0072182B"/>
    <w:rsid w:val="007219B6"/>
    <w:rsid w:val="007226E6"/>
    <w:rsid w:val="00723836"/>
    <w:rsid w:val="00725E51"/>
    <w:rsid w:val="00727B8A"/>
    <w:rsid w:val="00730385"/>
    <w:rsid w:val="00730FB0"/>
    <w:rsid w:val="00732A42"/>
    <w:rsid w:val="00735C02"/>
    <w:rsid w:val="0073653B"/>
    <w:rsid w:val="007418EA"/>
    <w:rsid w:val="00743A12"/>
    <w:rsid w:val="00744388"/>
    <w:rsid w:val="00751849"/>
    <w:rsid w:val="00755273"/>
    <w:rsid w:val="007572D6"/>
    <w:rsid w:val="007605B7"/>
    <w:rsid w:val="00760F5F"/>
    <w:rsid w:val="00761176"/>
    <w:rsid w:val="00764E0B"/>
    <w:rsid w:val="00766EA6"/>
    <w:rsid w:val="00770860"/>
    <w:rsid w:val="0077182D"/>
    <w:rsid w:val="00775551"/>
    <w:rsid w:val="00784120"/>
    <w:rsid w:val="00786960"/>
    <w:rsid w:val="007874CE"/>
    <w:rsid w:val="007906F5"/>
    <w:rsid w:val="007914E1"/>
    <w:rsid w:val="00791A10"/>
    <w:rsid w:val="00793063"/>
    <w:rsid w:val="00793B26"/>
    <w:rsid w:val="00794DFD"/>
    <w:rsid w:val="007A03BA"/>
    <w:rsid w:val="007A2C18"/>
    <w:rsid w:val="007A440F"/>
    <w:rsid w:val="007A52CF"/>
    <w:rsid w:val="007A77AD"/>
    <w:rsid w:val="007B2461"/>
    <w:rsid w:val="007B3367"/>
    <w:rsid w:val="007B50CC"/>
    <w:rsid w:val="007D0D92"/>
    <w:rsid w:val="007D13B9"/>
    <w:rsid w:val="007D1D0E"/>
    <w:rsid w:val="007D2C06"/>
    <w:rsid w:val="007D460C"/>
    <w:rsid w:val="007D51BD"/>
    <w:rsid w:val="007D7049"/>
    <w:rsid w:val="007E3AA3"/>
    <w:rsid w:val="007E7D85"/>
    <w:rsid w:val="007F7130"/>
    <w:rsid w:val="007F7C42"/>
    <w:rsid w:val="008015EA"/>
    <w:rsid w:val="00802FB0"/>
    <w:rsid w:val="008035A0"/>
    <w:rsid w:val="008046B3"/>
    <w:rsid w:val="008071D4"/>
    <w:rsid w:val="00807263"/>
    <w:rsid w:val="00807467"/>
    <w:rsid w:val="008152B5"/>
    <w:rsid w:val="00815526"/>
    <w:rsid w:val="00821481"/>
    <w:rsid w:val="00822583"/>
    <w:rsid w:val="008257BC"/>
    <w:rsid w:val="008312D0"/>
    <w:rsid w:val="00832AFD"/>
    <w:rsid w:val="008353CB"/>
    <w:rsid w:val="008400E1"/>
    <w:rsid w:val="0084122F"/>
    <w:rsid w:val="00841BB7"/>
    <w:rsid w:val="00842572"/>
    <w:rsid w:val="008530D4"/>
    <w:rsid w:val="0085493D"/>
    <w:rsid w:val="0085783C"/>
    <w:rsid w:val="008622FE"/>
    <w:rsid w:val="00862810"/>
    <w:rsid w:val="00864EFC"/>
    <w:rsid w:val="008651E1"/>
    <w:rsid w:val="00865993"/>
    <w:rsid w:val="00865B90"/>
    <w:rsid w:val="00866874"/>
    <w:rsid w:val="008714D7"/>
    <w:rsid w:val="0087228A"/>
    <w:rsid w:val="00877A43"/>
    <w:rsid w:val="008842B6"/>
    <w:rsid w:val="0088657B"/>
    <w:rsid w:val="0089149D"/>
    <w:rsid w:val="0089605E"/>
    <w:rsid w:val="008A06A0"/>
    <w:rsid w:val="008A0812"/>
    <w:rsid w:val="008A0CB7"/>
    <w:rsid w:val="008A24B6"/>
    <w:rsid w:val="008A3E11"/>
    <w:rsid w:val="008A47BE"/>
    <w:rsid w:val="008A49C7"/>
    <w:rsid w:val="008B1F7E"/>
    <w:rsid w:val="008B2B12"/>
    <w:rsid w:val="008B3281"/>
    <w:rsid w:val="008C49AE"/>
    <w:rsid w:val="008C609E"/>
    <w:rsid w:val="008D0DB8"/>
    <w:rsid w:val="008D167C"/>
    <w:rsid w:val="008D2BF3"/>
    <w:rsid w:val="008D5C4C"/>
    <w:rsid w:val="008E01F0"/>
    <w:rsid w:val="008E1782"/>
    <w:rsid w:val="008E41CF"/>
    <w:rsid w:val="008E609D"/>
    <w:rsid w:val="008E73BC"/>
    <w:rsid w:val="008F2D23"/>
    <w:rsid w:val="008F2F28"/>
    <w:rsid w:val="008F4914"/>
    <w:rsid w:val="008F519B"/>
    <w:rsid w:val="00902873"/>
    <w:rsid w:val="00906426"/>
    <w:rsid w:val="009078DC"/>
    <w:rsid w:val="00916B09"/>
    <w:rsid w:val="0092179E"/>
    <w:rsid w:val="00922B9C"/>
    <w:rsid w:val="00924094"/>
    <w:rsid w:val="009242FC"/>
    <w:rsid w:val="00926814"/>
    <w:rsid w:val="00926920"/>
    <w:rsid w:val="00930B69"/>
    <w:rsid w:val="00930DA0"/>
    <w:rsid w:val="00932704"/>
    <w:rsid w:val="00935DC0"/>
    <w:rsid w:val="00936BF2"/>
    <w:rsid w:val="0094202A"/>
    <w:rsid w:val="00942496"/>
    <w:rsid w:val="00944B44"/>
    <w:rsid w:val="00945ED2"/>
    <w:rsid w:val="009504DD"/>
    <w:rsid w:val="00951651"/>
    <w:rsid w:val="009522F2"/>
    <w:rsid w:val="009533BA"/>
    <w:rsid w:val="0095792C"/>
    <w:rsid w:val="00960A52"/>
    <w:rsid w:val="009621BB"/>
    <w:rsid w:val="00962E0E"/>
    <w:rsid w:val="009632EE"/>
    <w:rsid w:val="00971B29"/>
    <w:rsid w:val="0097205F"/>
    <w:rsid w:val="009751D7"/>
    <w:rsid w:val="00976495"/>
    <w:rsid w:val="009768B4"/>
    <w:rsid w:val="00976AC8"/>
    <w:rsid w:val="00977947"/>
    <w:rsid w:val="00984516"/>
    <w:rsid w:val="009849D1"/>
    <w:rsid w:val="00985A25"/>
    <w:rsid w:val="00993CFA"/>
    <w:rsid w:val="00993E61"/>
    <w:rsid w:val="00993FF3"/>
    <w:rsid w:val="009942CE"/>
    <w:rsid w:val="0099576B"/>
    <w:rsid w:val="00995A5F"/>
    <w:rsid w:val="009A0CA5"/>
    <w:rsid w:val="009A399F"/>
    <w:rsid w:val="009B2440"/>
    <w:rsid w:val="009B26DC"/>
    <w:rsid w:val="009B6972"/>
    <w:rsid w:val="009C4796"/>
    <w:rsid w:val="009C5534"/>
    <w:rsid w:val="009C606A"/>
    <w:rsid w:val="009D2331"/>
    <w:rsid w:val="009D2CA4"/>
    <w:rsid w:val="009E0E51"/>
    <w:rsid w:val="009E153B"/>
    <w:rsid w:val="009E32F5"/>
    <w:rsid w:val="009E3EDD"/>
    <w:rsid w:val="009E3FF4"/>
    <w:rsid w:val="009E5F4A"/>
    <w:rsid w:val="009E7314"/>
    <w:rsid w:val="009E7322"/>
    <w:rsid w:val="009F03E8"/>
    <w:rsid w:val="009F04D5"/>
    <w:rsid w:val="009F073C"/>
    <w:rsid w:val="009F3173"/>
    <w:rsid w:val="009F67E1"/>
    <w:rsid w:val="00A02722"/>
    <w:rsid w:val="00A05919"/>
    <w:rsid w:val="00A103BA"/>
    <w:rsid w:val="00A16151"/>
    <w:rsid w:val="00A16B91"/>
    <w:rsid w:val="00A201AE"/>
    <w:rsid w:val="00A215E0"/>
    <w:rsid w:val="00A2397C"/>
    <w:rsid w:val="00A25B90"/>
    <w:rsid w:val="00A33E87"/>
    <w:rsid w:val="00A40246"/>
    <w:rsid w:val="00A409D4"/>
    <w:rsid w:val="00A441F4"/>
    <w:rsid w:val="00A53A8E"/>
    <w:rsid w:val="00A54381"/>
    <w:rsid w:val="00A54B57"/>
    <w:rsid w:val="00A54F33"/>
    <w:rsid w:val="00A56B97"/>
    <w:rsid w:val="00A60EF7"/>
    <w:rsid w:val="00A61101"/>
    <w:rsid w:val="00A61E3C"/>
    <w:rsid w:val="00A6368C"/>
    <w:rsid w:val="00A65790"/>
    <w:rsid w:val="00A67FCF"/>
    <w:rsid w:val="00A7021E"/>
    <w:rsid w:val="00A70EE6"/>
    <w:rsid w:val="00A719C7"/>
    <w:rsid w:val="00A724BB"/>
    <w:rsid w:val="00A77FD0"/>
    <w:rsid w:val="00A84459"/>
    <w:rsid w:val="00A90A33"/>
    <w:rsid w:val="00A94C80"/>
    <w:rsid w:val="00A96A90"/>
    <w:rsid w:val="00A975AD"/>
    <w:rsid w:val="00AA0403"/>
    <w:rsid w:val="00AA4A03"/>
    <w:rsid w:val="00AA4F62"/>
    <w:rsid w:val="00AA7B79"/>
    <w:rsid w:val="00AB31AE"/>
    <w:rsid w:val="00AB345D"/>
    <w:rsid w:val="00AB4B7E"/>
    <w:rsid w:val="00AB7185"/>
    <w:rsid w:val="00AC42AD"/>
    <w:rsid w:val="00AC6B3A"/>
    <w:rsid w:val="00AD07DA"/>
    <w:rsid w:val="00AD2643"/>
    <w:rsid w:val="00AD5AB8"/>
    <w:rsid w:val="00AE006C"/>
    <w:rsid w:val="00AE2DB6"/>
    <w:rsid w:val="00AE44D7"/>
    <w:rsid w:val="00AE6AC4"/>
    <w:rsid w:val="00AF009B"/>
    <w:rsid w:val="00AF1A03"/>
    <w:rsid w:val="00AF1D74"/>
    <w:rsid w:val="00AF291E"/>
    <w:rsid w:val="00B108F1"/>
    <w:rsid w:val="00B11060"/>
    <w:rsid w:val="00B12DB2"/>
    <w:rsid w:val="00B16111"/>
    <w:rsid w:val="00B2184E"/>
    <w:rsid w:val="00B21D62"/>
    <w:rsid w:val="00B2358F"/>
    <w:rsid w:val="00B23972"/>
    <w:rsid w:val="00B26405"/>
    <w:rsid w:val="00B275A0"/>
    <w:rsid w:val="00B3321F"/>
    <w:rsid w:val="00B35901"/>
    <w:rsid w:val="00B511CB"/>
    <w:rsid w:val="00B52F90"/>
    <w:rsid w:val="00B540C4"/>
    <w:rsid w:val="00B549C0"/>
    <w:rsid w:val="00B60831"/>
    <w:rsid w:val="00B629A9"/>
    <w:rsid w:val="00B62B50"/>
    <w:rsid w:val="00B70393"/>
    <w:rsid w:val="00B70F3B"/>
    <w:rsid w:val="00B74C9E"/>
    <w:rsid w:val="00B84BA8"/>
    <w:rsid w:val="00B84C3D"/>
    <w:rsid w:val="00B850AF"/>
    <w:rsid w:val="00B85CE5"/>
    <w:rsid w:val="00B877A5"/>
    <w:rsid w:val="00B90433"/>
    <w:rsid w:val="00B907A6"/>
    <w:rsid w:val="00B93362"/>
    <w:rsid w:val="00B93B67"/>
    <w:rsid w:val="00B94EBA"/>
    <w:rsid w:val="00B968B7"/>
    <w:rsid w:val="00BA0002"/>
    <w:rsid w:val="00BA220E"/>
    <w:rsid w:val="00BA2287"/>
    <w:rsid w:val="00BA44DF"/>
    <w:rsid w:val="00BA76A9"/>
    <w:rsid w:val="00BB3551"/>
    <w:rsid w:val="00BB685C"/>
    <w:rsid w:val="00BB6AB2"/>
    <w:rsid w:val="00BC228E"/>
    <w:rsid w:val="00BC5CFE"/>
    <w:rsid w:val="00BC5D1E"/>
    <w:rsid w:val="00BD3C9E"/>
    <w:rsid w:val="00BD6251"/>
    <w:rsid w:val="00BD6AF6"/>
    <w:rsid w:val="00BE3820"/>
    <w:rsid w:val="00BE5732"/>
    <w:rsid w:val="00BF0FF9"/>
    <w:rsid w:val="00BF2DBE"/>
    <w:rsid w:val="00BF32C3"/>
    <w:rsid w:val="00BF463D"/>
    <w:rsid w:val="00BF7675"/>
    <w:rsid w:val="00C06104"/>
    <w:rsid w:val="00C07424"/>
    <w:rsid w:val="00C120E4"/>
    <w:rsid w:val="00C12300"/>
    <w:rsid w:val="00C15B67"/>
    <w:rsid w:val="00C2381A"/>
    <w:rsid w:val="00C2426C"/>
    <w:rsid w:val="00C25727"/>
    <w:rsid w:val="00C25C83"/>
    <w:rsid w:val="00C26471"/>
    <w:rsid w:val="00C27CC2"/>
    <w:rsid w:val="00C34B26"/>
    <w:rsid w:val="00C35A03"/>
    <w:rsid w:val="00C35E8A"/>
    <w:rsid w:val="00C37851"/>
    <w:rsid w:val="00C42674"/>
    <w:rsid w:val="00C4731E"/>
    <w:rsid w:val="00C500E7"/>
    <w:rsid w:val="00C500F6"/>
    <w:rsid w:val="00C506E6"/>
    <w:rsid w:val="00C51D87"/>
    <w:rsid w:val="00C55946"/>
    <w:rsid w:val="00C55A89"/>
    <w:rsid w:val="00C57BBC"/>
    <w:rsid w:val="00C6262F"/>
    <w:rsid w:val="00C6743F"/>
    <w:rsid w:val="00C7039B"/>
    <w:rsid w:val="00C726C3"/>
    <w:rsid w:val="00C72D08"/>
    <w:rsid w:val="00C74100"/>
    <w:rsid w:val="00C74282"/>
    <w:rsid w:val="00C75882"/>
    <w:rsid w:val="00C85685"/>
    <w:rsid w:val="00C85F79"/>
    <w:rsid w:val="00C86DB2"/>
    <w:rsid w:val="00C9188A"/>
    <w:rsid w:val="00C945E5"/>
    <w:rsid w:val="00C94F63"/>
    <w:rsid w:val="00C9578F"/>
    <w:rsid w:val="00C96FB6"/>
    <w:rsid w:val="00C97A1E"/>
    <w:rsid w:val="00C97CFC"/>
    <w:rsid w:val="00CA04C5"/>
    <w:rsid w:val="00CA1EAB"/>
    <w:rsid w:val="00CB300C"/>
    <w:rsid w:val="00CB3CEC"/>
    <w:rsid w:val="00CC40FD"/>
    <w:rsid w:val="00CC640C"/>
    <w:rsid w:val="00CC6850"/>
    <w:rsid w:val="00CC701A"/>
    <w:rsid w:val="00CD0C52"/>
    <w:rsid w:val="00CD20B2"/>
    <w:rsid w:val="00CD58FA"/>
    <w:rsid w:val="00CE001B"/>
    <w:rsid w:val="00CE1AF4"/>
    <w:rsid w:val="00CE2F63"/>
    <w:rsid w:val="00CE3185"/>
    <w:rsid w:val="00CE6E40"/>
    <w:rsid w:val="00CE7642"/>
    <w:rsid w:val="00CF3918"/>
    <w:rsid w:val="00CF44E5"/>
    <w:rsid w:val="00CF75D8"/>
    <w:rsid w:val="00D02E72"/>
    <w:rsid w:val="00D04049"/>
    <w:rsid w:val="00D0405A"/>
    <w:rsid w:val="00D04C55"/>
    <w:rsid w:val="00D05009"/>
    <w:rsid w:val="00D06EBE"/>
    <w:rsid w:val="00D14F82"/>
    <w:rsid w:val="00D24CBD"/>
    <w:rsid w:val="00D25DED"/>
    <w:rsid w:val="00D26EA9"/>
    <w:rsid w:val="00D3234F"/>
    <w:rsid w:val="00D336AA"/>
    <w:rsid w:val="00D37369"/>
    <w:rsid w:val="00D42EB5"/>
    <w:rsid w:val="00D561DB"/>
    <w:rsid w:val="00D564F4"/>
    <w:rsid w:val="00D57349"/>
    <w:rsid w:val="00D62219"/>
    <w:rsid w:val="00D6478C"/>
    <w:rsid w:val="00D70D0A"/>
    <w:rsid w:val="00D74704"/>
    <w:rsid w:val="00D74B5C"/>
    <w:rsid w:val="00D80767"/>
    <w:rsid w:val="00D84521"/>
    <w:rsid w:val="00D91004"/>
    <w:rsid w:val="00D93D78"/>
    <w:rsid w:val="00D95858"/>
    <w:rsid w:val="00DA21AB"/>
    <w:rsid w:val="00DA48D4"/>
    <w:rsid w:val="00DA6355"/>
    <w:rsid w:val="00DA6590"/>
    <w:rsid w:val="00DA7E73"/>
    <w:rsid w:val="00DB0EDD"/>
    <w:rsid w:val="00DB1885"/>
    <w:rsid w:val="00DB1E26"/>
    <w:rsid w:val="00DB5F18"/>
    <w:rsid w:val="00DB73A0"/>
    <w:rsid w:val="00DC28F9"/>
    <w:rsid w:val="00DC6005"/>
    <w:rsid w:val="00DD7815"/>
    <w:rsid w:val="00DE4D06"/>
    <w:rsid w:val="00DE7DB0"/>
    <w:rsid w:val="00DF2659"/>
    <w:rsid w:val="00DF72B2"/>
    <w:rsid w:val="00DF7C30"/>
    <w:rsid w:val="00E02E24"/>
    <w:rsid w:val="00E107AD"/>
    <w:rsid w:val="00E12065"/>
    <w:rsid w:val="00E126CD"/>
    <w:rsid w:val="00E2150F"/>
    <w:rsid w:val="00E262E7"/>
    <w:rsid w:val="00E3031D"/>
    <w:rsid w:val="00E3042C"/>
    <w:rsid w:val="00E30568"/>
    <w:rsid w:val="00E30B66"/>
    <w:rsid w:val="00E31CB4"/>
    <w:rsid w:val="00E32F9D"/>
    <w:rsid w:val="00E35127"/>
    <w:rsid w:val="00E36AF1"/>
    <w:rsid w:val="00E3714D"/>
    <w:rsid w:val="00E3719E"/>
    <w:rsid w:val="00E4098E"/>
    <w:rsid w:val="00E46528"/>
    <w:rsid w:val="00E509A4"/>
    <w:rsid w:val="00E530C6"/>
    <w:rsid w:val="00E540A3"/>
    <w:rsid w:val="00E55198"/>
    <w:rsid w:val="00E566A8"/>
    <w:rsid w:val="00E62F05"/>
    <w:rsid w:val="00E733C2"/>
    <w:rsid w:val="00E73C21"/>
    <w:rsid w:val="00E74E59"/>
    <w:rsid w:val="00E7507A"/>
    <w:rsid w:val="00E75ABB"/>
    <w:rsid w:val="00E770CC"/>
    <w:rsid w:val="00E8143C"/>
    <w:rsid w:val="00E83171"/>
    <w:rsid w:val="00E84D5E"/>
    <w:rsid w:val="00E85096"/>
    <w:rsid w:val="00E860C0"/>
    <w:rsid w:val="00E86B27"/>
    <w:rsid w:val="00E92CD5"/>
    <w:rsid w:val="00E940F1"/>
    <w:rsid w:val="00EA0676"/>
    <w:rsid w:val="00EA0D41"/>
    <w:rsid w:val="00EA1F8E"/>
    <w:rsid w:val="00EA256C"/>
    <w:rsid w:val="00EA65F8"/>
    <w:rsid w:val="00EB48FB"/>
    <w:rsid w:val="00EB6515"/>
    <w:rsid w:val="00EC2C1E"/>
    <w:rsid w:val="00EC3741"/>
    <w:rsid w:val="00ED0CD0"/>
    <w:rsid w:val="00ED69CA"/>
    <w:rsid w:val="00EE0A8F"/>
    <w:rsid w:val="00EE1874"/>
    <w:rsid w:val="00EE25A5"/>
    <w:rsid w:val="00EE45CE"/>
    <w:rsid w:val="00EE5C37"/>
    <w:rsid w:val="00EE661B"/>
    <w:rsid w:val="00EE6CDC"/>
    <w:rsid w:val="00EE6D9B"/>
    <w:rsid w:val="00EF0038"/>
    <w:rsid w:val="00EF2DF0"/>
    <w:rsid w:val="00EF5074"/>
    <w:rsid w:val="00EF552E"/>
    <w:rsid w:val="00EF7DE3"/>
    <w:rsid w:val="00F013EE"/>
    <w:rsid w:val="00F01B89"/>
    <w:rsid w:val="00F06071"/>
    <w:rsid w:val="00F06E60"/>
    <w:rsid w:val="00F14AB1"/>
    <w:rsid w:val="00F2165B"/>
    <w:rsid w:val="00F22544"/>
    <w:rsid w:val="00F22572"/>
    <w:rsid w:val="00F2317C"/>
    <w:rsid w:val="00F25B60"/>
    <w:rsid w:val="00F31CA5"/>
    <w:rsid w:val="00F31FAC"/>
    <w:rsid w:val="00F31FBC"/>
    <w:rsid w:val="00F36AED"/>
    <w:rsid w:val="00F41963"/>
    <w:rsid w:val="00F41DEC"/>
    <w:rsid w:val="00F4252F"/>
    <w:rsid w:val="00F42AE4"/>
    <w:rsid w:val="00F45758"/>
    <w:rsid w:val="00F470C0"/>
    <w:rsid w:val="00F5074A"/>
    <w:rsid w:val="00F50ADD"/>
    <w:rsid w:val="00F50BB2"/>
    <w:rsid w:val="00F54924"/>
    <w:rsid w:val="00F568DE"/>
    <w:rsid w:val="00F66BEC"/>
    <w:rsid w:val="00F77411"/>
    <w:rsid w:val="00F83A1A"/>
    <w:rsid w:val="00F83C46"/>
    <w:rsid w:val="00F907D5"/>
    <w:rsid w:val="00F93CA4"/>
    <w:rsid w:val="00F94374"/>
    <w:rsid w:val="00F94AF9"/>
    <w:rsid w:val="00F94C29"/>
    <w:rsid w:val="00FA0F1E"/>
    <w:rsid w:val="00FA2FBD"/>
    <w:rsid w:val="00FA3A23"/>
    <w:rsid w:val="00FA6385"/>
    <w:rsid w:val="00FA7092"/>
    <w:rsid w:val="00FB08F4"/>
    <w:rsid w:val="00FB1851"/>
    <w:rsid w:val="00FB2488"/>
    <w:rsid w:val="00FB47E9"/>
    <w:rsid w:val="00FC02EA"/>
    <w:rsid w:val="00FC394C"/>
    <w:rsid w:val="00FC7F8F"/>
    <w:rsid w:val="00FD0299"/>
    <w:rsid w:val="00FD0369"/>
    <w:rsid w:val="00FD19A7"/>
    <w:rsid w:val="00FD2C55"/>
    <w:rsid w:val="00FD2EBD"/>
    <w:rsid w:val="00FE477D"/>
    <w:rsid w:val="00FE5797"/>
    <w:rsid w:val="00FE7860"/>
    <w:rsid w:val="00FF3B21"/>
    <w:rsid w:val="00FF485E"/>
    <w:rsid w:val="00FF6E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766D4"/>
  <w15:chartTrackingRefBased/>
  <w15:docId w15:val="{E30B3769-4909-4F6E-86BF-A9DE11B7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555B"/>
    <w:pPr>
      <w:spacing w:after="0" w:line="240" w:lineRule="auto"/>
    </w:pPr>
  </w:style>
  <w:style w:type="table" w:styleId="TableGrid">
    <w:name w:val="Table Grid"/>
    <w:basedOn w:val="TableNormal"/>
    <w:uiPriority w:val="59"/>
    <w:unhideWhenUsed/>
    <w:rsid w:val="0080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287"/>
    <w:pPr>
      <w:ind w:left="720"/>
      <w:contextualSpacing/>
    </w:pPr>
  </w:style>
  <w:style w:type="character" w:styleId="CommentReference">
    <w:name w:val="annotation reference"/>
    <w:basedOn w:val="DefaultParagraphFont"/>
    <w:uiPriority w:val="99"/>
    <w:semiHidden/>
    <w:unhideWhenUsed/>
    <w:rsid w:val="00960A52"/>
    <w:rPr>
      <w:sz w:val="16"/>
      <w:szCs w:val="16"/>
    </w:rPr>
  </w:style>
  <w:style w:type="paragraph" w:styleId="CommentText">
    <w:name w:val="annotation text"/>
    <w:basedOn w:val="Normal"/>
    <w:link w:val="CommentTextChar"/>
    <w:uiPriority w:val="99"/>
    <w:semiHidden/>
    <w:unhideWhenUsed/>
    <w:rsid w:val="00960A52"/>
    <w:pPr>
      <w:spacing w:line="240" w:lineRule="auto"/>
    </w:pPr>
    <w:rPr>
      <w:sz w:val="20"/>
      <w:szCs w:val="20"/>
    </w:rPr>
  </w:style>
  <w:style w:type="character" w:customStyle="1" w:styleId="CommentTextChar">
    <w:name w:val="Comment Text Char"/>
    <w:basedOn w:val="DefaultParagraphFont"/>
    <w:link w:val="CommentText"/>
    <w:uiPriority w:val="99"/>
    <w:semiHidden/>
    <w:rsid w:val="00960A52"/>
    <w:rPr>
      <w:sz w:val="20"/>
      <w:szCs w:val="20"/>
    </w:rPr>
  </w:style>
  <w:style w:type="paragraph" w:styleId="CommentSubject">
    <w:name w:val="annotation subject"/>
    <w:basedOn w:val="CommentText"/>
    <w:next w:val="CommentText"/>
    <w:link w:val="CommentSubjectChar"/>
    <w:uiPriority w:val="99"/>
    <w:semiHidden/>
    <w:unhideWhenUsed/>
    <w:rsid w:val="00960A52"/>
    <w:rPr>
      <w:b/>
      <w:bCs/>
    </w:rPr>
  </w:style>
  <w:style w:type="character" w:customStyle="1" w:styleId="CommentSubjectChar">
    <w:name w:val="Comment Subject Char"/>
    <w:basedOn w:val="CommentTextChar"/>
    <w:link w:val="CommentSubject"/>
    <w:uiPriority w:val="99"/>
    <w:semiHidden/>
    <w:rsid w:val="00960A52"/>
    <w:rPr>
      <w:b/>
      <w:bCs/>
      <w:sz w:val="20"/>
      <w:szCs w:val="20"/>
    </w:rPr>
  </w:style>
  <w:style w:type="paragraph" w:styleId="BalloonText">
    <w:name w:val="Balloon Text"/>
    <w:basedOn w:val="Normal"/>
    <w:link w:val="BalloonTextChar"/>
    <w:uiPriority w:val="99"/>
    <w:semiHidden/>
    <w:unhideWhenUsed/>
    <w:rsid w:val="00960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A52"/>
    <w:rPr>
      <w:rFonts w:ascii="Segoe UI" w:hAnsi="Segoe UI" w:cs="Segoe UI"/>
      <w:sz w:val="18"/>
      <w:szCs w:val="18"/>
    </w:rPr>
  </w:style>
  <w:style w:type="character" w:styleId="Hyperlink">
    <w:name w:val="Hyperlink"/>
    <w:basedOn w:val="DefaultParagraphFont"/>
    <w:uiPriority w:val="99"/>
    <w:unhideWhenUsed/>
    <w:rsid w:val="00E107AD"/>
    <w:rPr>
      <w:color w:val="0000FF" w:themeColor="hyperlink"/>
      <w:u w:val="single"/>
    </w:rPr>
  </w:style>
  <w:style w:type="character" w:customStyle="1" w:styleId="UnresolvedMention1">
    <w:name w:val="Unresolved Mention1"/>
    <w:basedOn w:val="DefaultParagraphFont"/>
    <w:uiPriority w:val="99"/>
    <w:semiHidden/>
    <w:unhideWhenUsed/>
    <w:rsid w:val="00E107AD"/>
    <w:rPr>
      <w:color w:val="605E5C"/>
      <w:shd w:val="clear" w:color="auto" w:fill="E1DFDD"/>
    </w:rPr>
  </w:style>
  <w:style w:type="character" w:styleId="FollowedHyperlink">
    <w:name w:val="FollowedHyperlink"/>
    <w:basedOn w:val="DefaultParagraphFont"/>
    <w:uiPriority w:val="99"/>
    <w:semiHidden/>
    <w:unhideWhenUsed/>
    <w:rsid w:val="00E107AD"/>
    <w:rPr>
      <w:color w:val="800080" w:themeColor="followedHyperlink"/>
      <w:u w:val="single"/>
    </w:rPr>
  </w:style>
  <w:style w:type="character" w:customStyle="1" w:styleId="ui-text">
    <w:name w:val="ui-text"/>
    <w:basedOn w:val="DefaultParagraphFont"/>
    <w:rsid w:val="00F54924"/>
  </w:style>
  <w:style w:type="character" w:customStyle="1" w:styleId="ui-buttoncontent">
    <w:name w:val="ui-button__content"/>
    <w:basedOn w:val="DefaultParagraphFont"/>
    <w:rsid w:val="00F54924"/>
  </w:style>
  <w:style w:type="paragraph" w:styleId="Header">
    <w:name w:val="header"/>
    <w:basedOn w:val="Normal"/>
    <w:link w:val="HeaderChar"/>
    <w:uiPriority w:val="99"/>
    <w:unhideWhenUsed/>
    <w:rsid w:val="00EE4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CE"/>
  </w:style>
  <w:style w:type="paragraph" w:styleId="Footer">
    <w:name w:val="footer"/>
    <w:basedOn w:val="Normal"/>
    <w:link w:val="FooterChar"/>
    <w:uiPriority w:val="99"/>
    <w:unhideWhenUsed/>
    <w:rsid w:val="00EE4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CE"/>
  </w:style>
  <w:style w:type="paragraph" w:styleId="NormalWeb">
    <w:name w:val="Normal (Web)"/>
    <w:basedOn w:val="Normal"/>
    <w:uiPriority w:val="99"/>
    <w:semiHidden/>
    <w:unhideWhenUsed/>
    <w:rsid w:val="009B69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1658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898"/>
    <w:rPr>
      <w:sz w:val="20"/>
      <w:szCs w:val="20"/>
    </w:rPr>
  </w:style>
  <w:style w:type="character" w:styleId="FootnoteReference">
    <w:name w:val="footnote reference"/>
    <w:basedOn w:val="DefaultParagraphFont"/>
    <w:uiPriority w:val="99"/>
    <w:semiHidden/>
    <w:unhideWhenUsed/>
    <w:rsid w:val="00165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0911">
      <w:bodyDiv w:val="1"/>
      <w:marLeft w:val="0"/>
      <w:marRight w:val="0"/>
      <w:marTop w:val="0"/>
      <w:marBottom w:val="0"/>
      <w:divBdr>
        <w:top w:val="none" w:sz="0" w:space="0" w:color="auto"/>
        <w:left w:val="none" w:sz="0" w:space="0" w:color="auto"/>
        <w:bottom w:val="none" w:sz="0" w:space="0" w:color="auto"/>
        <w:right w:val="none" w:sz="0" w:space="0" w:color="auto"/>
      </w:divBdr>
    </w:div>
    <w:div w:id="368652002">
      <w:bodyDiv w:val="1"/>
      <w:marLeft w:val="0"/>
      <w:marRight w:val="0"/>
      <w:marTop w:val="0"/>
      <w:marBottom w:val="0"/>
      <w:divBdr>
        <w:top w:val="none" w:sz="0" w:space="0" w:color="auto"/>
        <w:left w:val="none" w:sz="0" w:space="0" w:color="auto"/>
        <w:bottom w:val="none" w:sz="0" w:space="0" w:color="auto"/>
        <w:right w:val="none" w:sz="0" w:space="0" w:color="auto"/>
      </w:divBdr>
      <w:divsChild>
        <w:div w:id="77098202">
          <w:marLeft w:val="0"/>
          <w:marRight w:val="0"/>
          <w:marTop w:val="0"/>
          <w:marBottom w:val="0"/>
          <w:divBdr>
            <w:top w:val="none" w:sz="0" w:space="0" w:color="auto"/>
            <w:left w:val="none" w:sz="0" w:space="0" w:color="auto"/>
            <w:bottom w:val="none" w:sz="0" w:space="0" w:color="auto"/>
            <w:right w:val="none" w:sz="0" w:space="0" w:color="auto"/>
          </w:divBdr>
          <w:divsChild>
            <w:div w:id="528762121">
              <w:marLeft w:val="0"/>
              <w:marRight w:val="0"/>
              <w:marTop w:val="0"/>
              <w:marBottom w:val="0"/>
              <w:divBdr>
                <w:top w:val="none" w:sz="0" w:space="0" w:color="auto"/>
                <w:left w:val="none" w:sz="0" w:space="0" w:color="auto"/>
                <w:bottom w:val="none" w:sz="0" w:space="0" w:color="auto"/>
                <w:right w:val="none" w:sz="0" w:space="0" w:color="auto"/>
              </w:divBdr>
              <w:divsChild>
                <w:div w:id="855774454">
                  <w:marLeft w:val="0"/>
                  <w:marRight w:val="0"/>
                  <w:marTop w:val="0"/>
                  <w:marBottom w:val="0"/>
                  <w:divBdr>
                    <w:top w:val="none" w:sz="0" w:space="0" w:color="auto"/>
                    <w:left w:val="none" w:sz="0" w:space="0" w:color="auto"/>
                    <w:bottom w:val="none" w:sz="0" w:space="0" w:color="auto"/>
                    <w:right w:val="none" w:sz="0" w:space="0" w:color="auto"/>
                  </w:divBdr>
                  <w:divsChild>
                    <w:div w:id="846553259">
                      <w:marLeft w:val="0"/>
                      <w:marRight w:val="0"/>
                      <w:marTop w:val="0"/>
                      <w:marBottom w:val="0"/>
                      <w:divBdr>
                        <w:top w:val="none" w:sz="0" w:space="0" w:color="auto"/>
                        <w:left w:val="none" w:sz="0" w:space="0" w:color="auto"/>
                        <w:bottom w:val="none" w:sz="0" w:space="0" w:color="auto"/>
                        <w:right w:val="none" w:sz="0" w:space="0" w:color="auto"/>
                      </w:divBdr>
                      <w:divsChild>
                        <w:div w:id="939609952">
                          <w:marLeft w:val="0"/>
                          <w:marRight w:val="0"/>
                          <w:marTop w:val="0"/>
                          <w:marBottom w:val="0"/>
                          <w:divBdr>
                            <w:top w:val="none" w:sz="0" w:space="0" w:color="auto"/>
                            <w:left w:val="none" w:sz="0" w:space="0" w:color="auto"/>
                            <w:bottom w:val="none" w:sz="0" w:space="0" w:color="auto"/>
                            <w:right w:val="none" w:sz="0" w:space="0" w:color="auto"/>
                          </w:divBdr>
                          <w:divsChild>
                            <w:div w:id="82772940">
                              <w:marLeft w:val="0"/>
                              <w:marRight w:val="0"/>
                              <w:marTop w:val="0"/>
                              <w:marBottom w:val="0"/>
                              <w:divBdr>
                                <w:top w:val="none" w:sz="0" w:space="0" w:color="auto"/>
                                <w:left w:val="none" w:sz="0" w:space="0" w:color="auto"/>
                                <w:bottom w:val="none" w:sz="0" w:space="0" w:color="auto"/>
                                <w:right w:val="none" w:sz="0" w:space="0" w:color="auto"/>
                              </w:divBdr>
                              <w:divsChild>
                                <w:div w:id="7040630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0952357">
                          <w:marLeft w:val="0"/>
                          <w:marRight w:val="0"/>
                          <w:marTop w:val="0"/>
                          <w:marBottom w:val="0"/>
                          <w:divBdr>
                            <w:top w:val="none" w:sz="0" w:space="0" w:color="auto"/>
                            <w:left w:val="none" w:sz="0" w:space="0" w:color="auto"/>
                            <w:bottom w:val="none" w:sz="0" w:space="0" w:color="auto"/>
                            <w:right w:val="none" w:sz="0" w:space="0" w:color="auto"/>
                          </w:divBdr>
                          <w:divsChild>
                            <w:div w:id="648174913">
                              <w:marLeft w:val="0"/>
                              <w:marRight w:val="0"/>
                              <w:marTop w:val="0"/>
                              <w:marBottom w:val="0"/>
                              <w:divBdr>
                                <w:top w:val="none" w:sz="0" w:space="0" w:color="auto"/>
                                <w:left w:val="none" w:sz="0" w:space="0" w:color="auto"/>
                                <w:bottom w:val="none" w:sz="0" w:space="0" w:color="auto"/>
                                <w:right w:val="none" w:sz="0" w:space="0" w:color="auto"/>
                              </w:divBdr>
                              <w:divsChild>
                                <w:div w:id="361438971">
                                  <w:marLeft w:val="0"/>
                                  <w:marRight w:val="0"/>
                                  <w:marTop w:val="0"/>
                                  <w:marBottom w:val="0"/>
                                  <w:divBdr>
                                    <w:top w:val="single" w:sz="6" w:space="0" w:color="auto"/>
                                    <w:left w:val="single" w:sz="6" w:space="0" w:color="auto"/>
                                    <w:bottom w:val="single" w:sz="6" w:space="0" w:color="auto"/>
                                    <w:right w:val="single" w:sz="6" w:space="0" w:color="auto"/>
                                  </w:divBdr>
                                  <w:divsChild>
                                    <w:div w:id="879241172">
                                      <w:marLeft w:val="0"/>
                                      <w:marRight w:val="0"/>
                                      <w:marTop w:val="0"/>
                                      <w:marBottom w:val="0"/>
                                      <w:divBdr>
                                        <w:top w:val="none" w:sz="0" w:space="0" w:color="auto"/>
                                        <w:left w:val="none" w:sz="0" w:space="0" w:color="auto"/>
                                        <w:bottom w:val="none" w:sz="0" w:space="0" w:color="auto"/>
                                        <w:right w:val="none" w:sz="0" w:space="0" w:color="auto"/>
                                      </w:divBdr>
                                      <w:divsChild>
                                        <w:div w:id="12117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518517">
          <w:marLeft w:val="0"/>
          <w:marRight w:val="0"/>
          <w:marTop w:val="0"/>
          <w:marBottom w:val="0"/>
          <w:divBdr>
            <w:top w:val="none" w:sz="0" w:space="0" w:color="auto"/>
            <w:left w:val="none" w:sz="0" w:space="0" w:color="auto"/>
            <w:bottom w:val="none" w:sz="0" w:space="0" w:color="auto"/>
            <w:right w:val="none" w:sz="0" w:space="0" w:color="auto"/>
          </w:divBdr>
          <w:divsChild>
            <w:div w:id="1268973576">
              <w:marLeft w:val="0"/>
              <w:marRight w:val="0"/>
              <w:marTop w:val="0"/>
              <w:marBottom w:val="0"/>
              <w:divBdr>
                <w:top w:val="none" w:sz="0" w:space="0" w:color="auto"/>
                <w:left w:val="none" w:sz="0" w:space="0" w:color="auto"/>
                <w:bottom w:val="none" w:sz="0" w:space="0" w:color="auto"/>
                <w:right w:val="none" w:sz="0" w:space="0" w:color="auto"/>
              </w:divBdr>
              <w:divsChild>
                <w:div w:id="1503930016">
                  <w:marLeft w:val="0"/>
                  <w:marRight w:val="0"/>
                  <w:marTop w:val="0"/>
                  <w:marBottom w:val="0"/>
                  <w:divBdr>
                    <w:top w:val="none" w:sz="0" w:space="0" w:color="auto"/>
                    <w:left w:val="none" w:sz="0" w:space="0" w:color="auto"/>
                    <w:bottom w:val="none" w:sz="0" w:space="0" w:color="auto"/>
                    <w:right w:val="none" w:sz="0" w:space="0" w:color="auto"/>
                  </w:divBdr>
                  <w:divsChild>
                    <w:div w:id="1577593234">
                      <w:marLeft w:val="0"/>
                      <w:marRight w:val="0"/>
                      <w:marTop w:val="0"/>
                      <w:marBottom w:val="0"/>
                      <w:divBdr>
                        <w:top w:val="none" w:sz="0" w:space="0" w:color="auto"/>
                        <w:left w:val="none" w:sz="0" w:space="0" w:color="auto"/>
                        <w:bottom w:val="none" w:sz="0" w:space="0" w:color="auto"/>
                        <w:right w:val="none" w:sz="0" w:space="0" w:color="auto"/>
                      </w:divBdr>
                      <w:divsChild>
                        <w:div w:id="1209300446">
                          <w:marLeft w:val="0"/>
                          <w:marRight w:val="0"/>
                          <w:marTop w:val="0"/>
                          <w:marBottom w:val="0"/>
                          <w:divBdr>
                            <w:top w:val="none" w:sz="0" w:space="0" w:color="auto"/>
                            <w:left w:val="none" w:sz="0" w:space="0" w:color="auto"/>
                            <w:bottom w:val="none" w:sz="0" w:space="0" w:color="auto"/>
                            <w:right w:val="none" w:sz="0" w:space="0" w:color="auto"/>
                          </w:divBdr>
                          <w:divsChild>
                            <w:div w:id="483009287">
                              <w:marLeft w:val="0"/>
                              <w:marRight w:val="0"/>
                              <w:marTop w:val="0"/>
                              <w:marBottom w:val="0"/>
                              <w:divBdr>
                                <w:top w:val="none" w:sz="0" w:space="0" w:color="auto"/>
                                <w:left w:val="none" w:sz="0" w:space="0" w:color="auto"/>
                                <w:bottom w:val="none" w:sz="0" w:space="0" w:color="auto"/>
                                <w:right w:val="none" w:sz="0" w:space="0" w:color="auto"/>
                              </w:divBdr>
                              <w:divsChild>
                                <w:div w:id="602420462">
                                  <w:marLeft w:val="0"/>
                                  <w:marRight w:val="0"/>
                                  <w:marTop w:val="0"/>
                                  <w:marBottom w:val="0"/>
                                  <w:divBdr>
                                    <w:top w:val="single" w:sz="24" w:space="0" w:color="1A1A1A"/>
                                    <w:left w:val="single" w:sz="24" w:space="0" w:color="1A1A1A"/>
                                    <w:bottom w:val="single" w:sz="24" w:space="0" w:color="1A1A1A"/>
                                    <w:right w:val="single" w:sz="24" w:space="0" w:color="1A1A1A"/>
                                  </w:divBdr>
                                  <w:divsChild>
                                    <w:div w:id="1959531602">
                                      <w:marLeft w:val="0"/>
                                      <w:marRight w:val="0"/>
                                      <w:marTop w:val="0"/>
                                      <w:marBottom w:val="0"/>
                                      <w:divBdr>
                                        <w:top w:val="none" w:sz="0" w:space="0" w:color="auto"/>
                                        <w:left w:val="none" w:sz="0" w:space="0" w:color="auto"/>
                                        <w:bottom w:val="none" w:sz="0" w:space="0" w:color="auto"/>
                                        <w:right w:val="none" w:sz="0" w:space="0" w:color="auto"/>
                                      </w:divBdr>
                                      <w:divsChild>
                                        <w:div w:id="251165137">
                                          <w:marLeft w:val="0"/>
                                          <w:marRight w:val="0"/>
                                          <w:marTop w:val="0"/>
                                          <w:marBottom w:val="0"/>
                                          <w:divBdr>
                                            <w:top w:val="none" w:sz="0" w:space="0" w:color="auto"/>
                                            <w:left w:val="none" w:sz="0" w:space="0" w:color="auto"/>
                                            <w:bottom w:val="none" w:sz="0" w:space="0" w:color="auto"/>
                                            <w:right w:val="none" w:sz="0" w:space="0" w:color="auto"/>
                                          </w:divBdr>
                                          <w:divsChild>
                                            <w:div w:id="1609660722">
                                              <w:marLeft w:val="0"/>
                                              <w:marRight w:val="0"/>
                                              <w:marTop w:val="0"/>
                                              <w:marBottom w:val="0"/>
                                              <w:divBdr>
                                                <w:top w:val="none" w:sz="0" w:space="0" w:color="auto"/>
                                                <w:left w:val="none" w:sz="0" w:space="0" w:color="auto"/>
                                                <w:bottom w:val="none" w:sz="0" w:space="0" w:color="auto"/>
                                                <w:right w:val="none" w:sz="0" w:space="0" w:color="auto"/>
                                              </w:divBdr>
                                              <w:divsChild>
                                                <w:div w:id="2083478519">
                                                  <w:marLeft w:val="0"/>
                                                  <w:marRight w:val="0"/>
                                                  <w:marTop w:val="0"/>
                                                  <w:marBottom w:val="0"/>
                                                  <w:divBdr>
                                                    <w:top w:val="none" w:sz="0" w:space="0" w:color="auto"/>
                                                    <w:left w:val="none" w:sz="0" w:space="0" w:color="auto"/>
                                                    <w:bottom w:val="none" w:sz="0" w:space="0" w:color="auto"/>
                                                    <w:right w:val="none" w:sz="0" w:space="0" w:color="auto"/>
                                                  </w:divBdr>
                                                  <w:divsChild>
                                                    <w:div w:id="1972636012">
                                                      <w:marLeft w:val="0"/>
                                                      <w:marRight w:val="0"/>
                                                      <w:marTop w:val="0"/>
                                                      <w:marBottom w:val="0"/>
                                                      <w:divBdr>
                                                        <w:top w:val="none" w:sz="0" w:space="0" w:color="auto"/>
                                                        <w:left w:val="none" w:sz="0" w:space="0" w:color="auto"/>
                                                        <w:bottom w:val="none" w:sz="0" w:space="0" w:color="auto"/>
                                                        <w:right w:val="none" w:sz="0" w:space="0" w:color="auto"/>
                                                      </w:divBdr>
                                                      <w:divsChild>
                                                        <w:div w:id="785349597">
                                                          <w:marLeft w:val="0"/>
                                                          <w:marRight w:val="0"/>
                                                          <w:marTop w:val="0"/>
                                                          <w:marBottom w:val="0"/>
                                                          <w:divBdr>
                                                            <w:top w:val="none" w:sz="0" w:space="0" w:color="auto"/>
                                                            <w:left w:val="none" w:sz="0" w:space="0" w:color="auto"/>
                                                            <w:bottom w:val="none" w:sz="0" w:space="0" w:color="auto"/>
                                                            <w:right w:val="none" w:sz="0" w:space="0" w:color="auto"/>
                                                          </w:divBdr>
                                                          <w:divsChild>
                                                            <w:div w:id="1491019329">
                                                              <w:marLeft w:val="0"/>
                                                              <w:marRight w:val="0"/>
                                                              <w:marTop w:val="0"/>
                                                              <w:marBottom w:val="0"/>
                                                              <w:divBdr>
                                                                <w:top w:val="none" w:sz="0" w:space="0" w:color="auto"/>
                                                                <w:left w:val="none" w:sz="0" w:space="0" w:color="auto"/>
                                                                <w:bottom w:val="none" w:sz="0" w:space="0" w:color="auto"/>
                                                                <w:right w:val="none" w:sz="0" w:space="0" w:color="auto"/>
                                                              </w:divBdr>
                                                              <w:divsChild>
                                                                <w:div w:id="239563820">
                                                                  <w:marLeft w:val="0"/>
                                                                  <w:marRight w:val="0"/>
                                                                  <w:marTop w:val="0"/>
                                                                  <w:marBottom w:val="0"/>
                                                                  <w:divBdr>
                                                                    <w:top w:val="none" w:sz="0" w:space="0" w:color="auto"/>
                                                                    <w:left w:val="none" w:sz="0" w:space="0" w:color="auto"/>
                                                                    <w:bottom w:val="none" w:sz="0" w:space="0" w:color="auto"/>
                                                                    <w:right w:val="none" w:sz="0" w:space="0" w:color="auto"/>
                                                                  </w:divBdr>
                                                                  <w:divsChild>
                                                                    <w:div w:id="1249776905">
                                                                      <w:marLeft w:val="0"/>
                                                                      <w:marRight w:val="0"/>
                                                                      <w:marTop w:val="0"/>
                                                                      <w:marBottom w:val="0"/>
                                                                      <w:divBdr>
                                                                        <w:top w:val="none" w:sz="0" w:space="0" w:color="auto"/>
                                                                        <w:left w:val="none" w:sz="0" w:space="0" w:color="auto"/>
                                                                        <w:bottom w:val="none" w:sz="0" w:space="0" w:color="auto"/>
                                                                        <w:right w:val="none" w:sz="0" w:space="0" w:color="auto"/>
                                                                      </w:divBdr>
                                                                      <w:divsChild>
                                                                        <w:div w:id="1206066103">
                                                                          <w:marLeft w:val="0"/>
                                                                          <w:marRight w:val="0"/>
                                                                          <w:marTop w:val="0"/>
                                                                          <w:marBottom w:val="0"/>
                                                                          <w:divBdr>
                                                                            <w:top w:val="single" w:sz="24" w:space="0" w:color="1A1A1A"/>
                                                                            <w:left w:val="single" w:sz="24" w:space="0" w:color="1A1A1A"/>
                                                                            <w:bottom w:val="single" w:sz="24" w:space="0" w:color="1A1A1A"/>
                                                                            <w:right w:val="single" w:sz="24" w:space="0" w:color="1A1A1A"/>
                                                                          </w:divBdr>
                                                                          <w:divsChild>
                                                                            <w:div w:id="1907032212">
                                                                              <w:marLeft w:val="0"/>
                                                                              <w:marRight w:val="0"/>
                                                                              <w:marTop w:val="0"/>
                                                                              <w:marBottom w:val="0"/>
                                                                              <w:divBdr>
                                                                                <w:top w:val="none" w:sz="0" w:space="0" w:color="auto"/>
                                                                                <w:left w:val="none" w:sz="0" w:space="0" w:color="auto"/>
                                                                                <w:bottom w:val="none" w:sz="0" w:space="0" w:color="auto"/>
                                                                                <w:right w:val="none" w:sz="0" w:space="0" w:color="auto"/>
                                                                              </w:divBdr>
                                                                              <w:divsChild>
                                                                                <w:div w:id="381175245">
                                                                                  <w:marLeft w:val="0"/>
                                                                                  <w:marRight w:val="0"/>
                                                                                  <w:marTop w:val="0"/>
                                                                                  <w:marBottom w:val="0"/>
                                                                                  <w:divBdr>
                                                                                    <w:top w:val="none" w:sz="0" w:space="0" w:color="auto"/>
                                                                                    <w:left w:val="none" w:sz="0" w:space="0" w:color="auto"/>
                                                                                    <w:bottom w:val="none" w:sz="0" w:space="0" w:color="auto"/>
                                                                                    <w:right w:val="none" w:sz="0" w:space="0" w:color="auto"/>
                                                                                  </w:divBdr>
                                                                                  <w:divsChild>
                                                                                    <w:div w:id="3639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263176">
                                                  <w:marLeft w:val="0"/>
                                                  <w:marRight w:val="0"/>
                                                  <w:marTop w:val="0"/>
                                                  <w:marBottom w:val="0"/>
                                                  <w:divBdr>
                                                    <w:top w:val="none" w:sz="0" w:space="0" w:color="auto"/>
                                                    <w:left w:val="none" w:sz="0" w:space="0" w:color="auto"/>
                                                    <w:bottom w:val="none" w:sz="0" w:space="0" w:color="auto"/>
                                                    <w:right w:val="none" w:sz="0" w:space="0" w:color="auto"/>
                                                  </w:divBdr>
                                                  <w:divsChild>
                                                    <w:div w:id="127430733">
                                                      <w:marLeft w:val="0"/>
                                                      <w:marRight w:val="0"/>
                                                      <w:marTop w:val="0"/>
                                                      <w:marBottom w:val="0"/>
                                                      <w:divBdr>
                                                        <w:top w:val="none" w:sz="0" w:space="0" w:color="auto"/>
                                                        <w:left w:val="none" w:sz="0" w:space="0" w:color="auto"/>
                                                        <w:bottom w:val="none" w:sz="0" w:space="0" w:color="auto"/>
                                                        <w:right w:val="none" w:sz="0" w:space="0" w:color="auto"/>
                                                      </w:divBdr>
                                                      <w:divsChild>
                                                        <w:div w:id="1361081192">
                                                          <w:marLeft w:val="0"/>
                                                          <w:marRight w:val="0"/>
                                                          <w:marTop w:val="0"/>
                                                          <w:marBottom w:val="0"/>
                                                          <w:divBdr>
                                                            <w:top w:val="none" w:sz="0" w:space="0" w:color="auto"/>
                                                            <w:left w:val="none" w:sz="0" w:space="0" w:color="auto"/>
                                                            <w:bottom w:val="none" w:sz="0" w:space="0" w:color="auto"/>
                                                            <w:right w:val="none" w:sz="0" w:space="0" w:color="auto"/>
                                                          </w:divBdr>
                                                          <w:divsChild>
                                                            <w:div w:id="917249168">
                                                              <w:marLeft w:val="0"/>
                                                              <w:marRight w:val="0"/>
                                                              <w:marTop w:val="0"/>
                                                              <w:marBottom w:val="0"/>
                                                              <w:divBdr>
                                                                <w:top w:val="none" w:sz="0" w:space="0" w:color="auto"/>
                                                                <w:left w:val="none" w:sz="0" w:space="0" w:color="auto"/>
                                                                <w:bottom w:val="none" w:sz="0" w:space="0" w:color="auto"/>
                                                                <w:right w:val="none" w:sz="0" w:space="0" w:color="auto"/>
                                                              </w:divBdr>
                                                              <w:divsChild>
                                                                <w:div w:id="1975720563">
                                                                  <w:marLeft w:val="0"/>
                                                                  <w:marRight w:val="0"/>
                                                                  <w:marTop w:val="0"/>
                                                                  <w:marBottom w:val="0"/>
                                                                  <w:divBdr>
                                                                    <w:top w:val="none" w:sz="0" w:space="0" w:color="auto"/>
                                                                    <w:left w:val="none" w:sz="0" w:space="0" w:color="auto"/>
                                                                    <w:bottom w:val="none" w:sz="0" w:space="0" w:color="auto"/>
                                                                    <w:right w:val="none" w:sz="0" w:space="0" w:color="auto"/>
                                                                  </w:divBdr>
                                                                  <w:divsChild>
                                                                    <w:div w:id="603418068">
                                                                      <w:marLeft w:val="0"/>
                                                                      <w:marRight w:val="0"/>
                                                                      <w:marTop w:val="0"/>
                                                                      <w:marBottom w:val="0"/>
                                                                      <w:divBdr>
                                                                        <w:top w:val="none" w:sz="0" w:space="0" w:color="auto"/>
                                                                        <w:left w:val="none" w:sz="0" w:space="0" w:color="auto"/>
                                                                        <w:bottom w:val="none" w:sz="0" w:space="0" w:color="auto"/>
                                                                        <w:right w:val="none" w:sz="0" w:space="0" w:color="auto"/>
                                                                      </w:divBdr>
                                                                      <w:divsChild>
                                                                        <w:div w:id="1516797745">
                                                                          <w:marLeft w:val="0"/>
                                                                          <w:marRight w:val="0"/>
                                                                          <w:marTop w:val="0"/>
                                                                          <w:marBottom w:val="0"/>
                                                                          <w:divBdr>
                                                                            <w:top w:val="none" w:sz="0" w:space="0" w:color="auto"/>
                                                                            <w:left w:val="none" w:sz="0" w:space="0" w:color="auto"/>
                                                                            <w:bottom w:val="none" w:sz="0" w:space="0" w:color="auto"/>
                                                                            <w:right w:val="none" w:sz="0" w:space="0" w:color="auto"/>
                                                                          </w:divBdr>
                                                                          <w:divsChild>
                                                                            <w:div w:id="300967223">
                                                                              <w:marLeft w:val="0"/>
                                                                              <w:marRight w:val="0"/>
                                                                              <w:marTop w:val="0"/>
                                                                              <w:marBottom w:val="0"/>
                                                                              <w:divBdr>
                                                                                <w:top w:val="none" w:sz="0" w:space="0" w:color="auto"/>
                                                                                <w:left w:val="none" w:sz="0" w:space="0" w:color="auto"/>
                                                                                <w:bottom w:val="none" w:sz="0" w:space="0" w:color="auto"/>
                                                                                <w:right w:val="none" w:sz="0" w:space="0" w:color="auto"/>
                                                                              </w:divBdr>
                                                                              <w:divsChild>
                                                                                <w:div w:id="1501581218">
                                                                                  <w:marLeft w:val="0"/>
                                                                                  <w:marRight w:val="0"/>
                                                                                  <w:marTop w:val="0"/>
                                                                                  <w:marBottom w:val="0"/>
                                                                                  <w:divBdr>
                                                                                    <w:top w:val="none" w:sz="0" w:space="0" w:color="auto"/>
                                                                                    <w:left w:val="none" w:sz="0" w:space="0" w:color="auto"/>
                                                                                    <w:bottom w:val="none" w:sz="0" w:space="0" w:color="auto"/>
                                                                                    <w:right w:val="none" w:sz="0" w:space="0" w:color="auto"/>
                                                                                  </w:divBdr>
                                                                                  <w:divsChild>
                                                                                    <w:div w:id="9917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5955">
                                                                              <w:marLeft w:val="0"/>
                                                                              <w:marRight w:val="0"/>
                                                                              <w:marTop w:val="0"/>
                                                                              <w:marBottom w:val="0"/>
                                                                              <w:divBdr>
                                                                                <w:top w:val="none" w:sz="0" w:space="0" w:color="auto"/>
                                                                                <w:left w:val="none" w:sz="0" w:space="0" w:color="auto"/>
                                                                                <w:bottom w:val="none" w:sz="0" w:space="0" w:color="auto"/>
                                                                                <w:right w:val="none" w:sz="0" w:space="0" w:color="auto"/>
                                                                              </w:divBdr>
                                                                              <w:divsChild>
                                                                                <w:div w:id="4480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6333">
                                                                      <w:marLeft w:val="0"/>
                                                                      <w:marRight w:val="0"/>
                                                                      <w:marTop w:val="0"/>
                                                                      <w:marBottom w:val="0"/>
                                                                      <w:divBdr>
                                                                        <w:top w:val="none" w:sz="0" w:space="0" w:color="auto"/>
                                                                        <w:left w:val="none" w:sz="0" w:space="0" w:color="auto"/>
                                                                        <w:bottom w:val="none" w:sz="0" w:space="0" w:color="auto"/>
                                                                        <w:right w:val="none" w:sz="0" w:space="0" w:color="auto"/>
                                                                      </w:divBdr>
                                                                      <w:divsChild>
                                                                        <w:div w:id="1443383971">
                                                                          <w:marLeft w:val="0"/>
                                                                          <w:marRight w:val="0"/>
                                                                          <w:marTop w:val="0"/>
                                                                          <w:marBottom w:val="0"/>
                                                                          <w:divBdr>
                                                                            <w:top w:val="none" w:sz="0" w:space="0" w:color="auto"/>
                                                                            <w:left w:val="none" w:sz="0" w:space="0" w:color="auto"/>
                                                                            <w:bottom w:val="none" w:sz="0" w:space="0" w:color="auto"/>
                                                                            <w:right w:val="none" w:sz="0" w:space="0" w:color="auto"/>
                                                                          </w:divBdr>
                                                                          <w:divsChild>
                                                                            <w:div w:id="20376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2484909">
      <w:bodyDiv w:val="1"/>
      <w:marLeft w:val="0"/>
      <w:marRight w:val="0"/>
      <w:marTop w:val="0"/>
      <w:marBottom w:val="0"/>
      <w:divBdr>
        <w:top w:val="none" w:sz="0" w:space="0" w:color="auto"/>
        <w:left w:val="none" w:sz="0" w:space="0" w:color="auto"/>
        <w:bottom w:val="none" w:sz="0" w:space="0" w:color="auto"/>
        <w:right w:val="none" w:sz="0" w:space="0" w:color="auto"/>
      </w:divBdr>
      <w:divsChild>
        <w:div w:id="754516487">
          <w:marLeft w:val="0"/>
          <w:marRight w:val="0"/>
          <w:marTop w:val="0"/>
          <w:marBottom w:val="0"/>
          <w:divBdr>
            <w:top w:val="none" w:sz="0" w:space="0" w:color="auto"/>
            <w:left w:val="none" w:sz="0" w:space="0" w:color="auto"/>
            <w:bottom w:val="none" w:sz="0" w:space="0" w:color="auto"/>
            <w:right w:val="none" w:sz="0" w:space="0" w:color="auto"/>
          </w:divBdr>
          <w:divsChild>
            <w:div w:id="307780746">
              <w:marLeft w:val="0"/>
              <w:marRight w:val="0"/>
              <w:marTop w:val="0"/>
              <w:marBottom w:val="0"/>
              <w:divBdr>
                <w:top w:val="none" w:sz="0" w:space="0" w:color="auto"/>
                <w:left w:val="none" w:sz="0" w:space="0" w:color="auto"/>
                <w:bottom w:val="none" w:sz="0" w:space="0" w:color="auto"/>
                <w:right w:val="none" w:sz="0" w:space="0" w:color="auto"/>
              </w:divBdr>
              <w:divsChild>
                <w:div w:id="1413619254">
                  <w:marLeft w:val="0"/>
                  <w:marRight w:val="0"/>
                  <w:marTop w:val="0"/>
                  <w:marBottom w:val="0"/>
                  <w:divBdr>
                    <w:top w:val="none" w:sz="0" w:space="0" w:color="auto"/>
                    <w:left w:val="none" w:sz="0" w:space="0" w:color="auto"/>
                    <w:bottom w:val="none" w:sz="0" w:space="0" w:color="auto"/>
                    <w:right w:val="none" w:sz="0" w:space="0" w:color="auto"/>
                  </w:divBdr>
                  <w:divsChild>
                    <w:div w:id="1097561215">
                      <w:marLeft w:val="0"/>
                      <w:marRight w:val="0"/>
                      <w:marTop w:val="0"/>
                      <w:marBottom w:val="0"/>
                      <w:divBdr>
                        <w:top w:val="none" w:sz="0" w:space="0" w:color="auto"/>
                        <w:left w:val="none" w:sz="0" w:space="0" w:color="auto"/>
                        <w:bottom w:val="none" w:sz="0" w:space="0" w:color="auto"/>
                        <w:right w:val="none" w:sz="0" w:space="0" w:color="auto"/>
                      </w:divBdr>
                      <w:divsChild>
                        <w:div w:id="1414013625">
                          <w:marLeft w:val="0"/>
                          <w:marRight w:val="0"/>
                          <w:marTop w:val="0"/>
                          <w:marBottom w:val="0"/>
                          <w:divBdr>
                            <w:top w:val="none" w:sz="0" w:space="0" w:color="auto"/>
                            <w:left w:val="none" w:sz="0" w:space="0" w:color="auto"/>
                            <w:bottom w:val="none" w:sz="0" w:space="0" w:color="auto"/>
                            <w:right w:val="none" w:sz="0" w:space="0" w:color="auto"/>
                          </w:divBdr>
                          <w:divsChild>
                            <w:div w:id="2092728061">
                              <w:marLeft w:val="0"/>
                              <w:marRight w:val="0"/>
                              <w:marTop w:val="0"/>
                              <w:marBottom w:val="0"/>
                              <w:divBdr>
                                <w:top w:val="none" w:sz="0" w:space="0" w:color="auto"/>
                                <w:left w:val="none" w:sz="0" w:space="0" w:color="auto"/>
                                <w:bottom w:val="none" w:sz="0" w:space="0" w:color="auto"/>
                                <w:right w:val="none" w:sz="0" w:space="0" w:color="auto"/>
                              </w:divBdr>
                              <w:divsChild>
                                <w:div w:id="585499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6249571">
                          <w:marLeft w:val="0"/>
                          <w:marRight w:val="0"/>
                          <w:marTop w:val="0"/>
                          <w:marBottom w:val="0"/>
                          <w:divBdr>
                            <w:top w:val="none" w:sz="0" w:space="0" w:color="auto"/>
                            <w:left w:val="none" w:sz="0" w:space="0" w:color="auto"/>
                            <w:bottom w:val="none" w:sz="0" w:space="0" w:color="auto"/>
                            <w:right w:val="none" w:sz="0" w:space="0" w:color="auto"/>
                          </w:divBdr>
                          <w:divsChild>
                            <w:div w:id="1382246572">
                              <w:marLeft w:val="0"/>
                              <w:marRight w:val="0"/>
                              <w:marTop w:val="0"/>
                              <w:marBottom w:val="0"/>
                              <w:divBdr>
                                <w:top w:val="none" w:sz="0" w:space="0" w:color="auto"/>
                                <w:left w:val="none" w:sz="0" w:space="0" w:color="auto"/>
                                <w:bottom w:val="none" w:sz="0" w:space="0" w:color="auto"/>
                                <w:right w:val="none" w:sz="0" w:space="0" w:color="auto"/>
                              </w:divBdr>
                              <w:divsChild>
                                <w:div w:id="303891291">
                                  <w:marLeft w:val="0"/>
                                  <w:marRight w:val="0"/>
                                  <w:marTop w:val="0"/>
                                  <w:marBottom w:val="0"/>
                                  <w:divBdr>
                                    <w:top w:val="single" w:sz="6" w:space="0" w:color="auto"/>
                                    <w:left w:val="single" w:sz="6" w:space="0" w:color="auto"/>
                                    <w:bottom w:val="single" w:sz="6" w:space="0" w:color="auto"/>
                                    <w:right w:val="single" w:sz="6" w:space="0" w:color="auto"/>
                                  </w:divBdr>
                                  <w:divsChild>
                                    <w:div w:id="345131677">
                                      <w:marLeft w:val="0"/>
                                      <w:marRight w:val="0"/>
                                      <w:marTop w:val="0"/>
                                      <w:marBottom w:val="0"/>
                                      <w:divBdr>
                                        <w:top w:val="none" w:sz="0" w:space="0" w:color="auto"/>
                                        <w:left w:val="none" w:sz="0" w:space="0" w:color="auto"/>
                                        <w:bottom w:val="none" w:sz="0" w:space="0" w:color="auto"/>
                                        <w:right w:val="none" w:sz="0" w:space="0" w:color="auto"/>
                                      </w:divBdr>
                                      <w:divsChild>
                                        <w:div w:id="6477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960557">
          <w:marLeft w:val="0"/>
          <w:marRight w:val="0"/>
          <w:marTop w:val="0"/>
          <w:marBottom w:val="0"/>
          <w:divBdr>
            <w:top w:val="none" w:sz="0" w:space="0" w:color="auto"/>
            <w:left w:val="none" w:sz="0" w:space="0" w:color="auto"/>
            <w:bottom w:val="none" w:sz="0" w:space="0" w:color="auto"/>
            <w:right w:val="none" w:sz="0" w:space="0" w:color="auto"/>
          </w:divBdr>
          <w:divsChild>
            <w:div w:id="1712264614">
              <w:marLeft w:val="0"/>
              <w:marRight w:val="0"/>
              <w:marTop w:val="0"/>
              <w:marBottom w:val="0"/>
              <w:divBdr>
                <w:top w:val="none" w:sz="0" w:space="0" w:color="auto"/>
                <w:left w:val="none" w:sz="0" w:space="0" w:color="auto"/>
                <w:bottom w:val="none" w:sz="0" w:space="0" w:color="auto"/>
                <w:right w:val="none" w:sz="0" w:space="0" w:color="auto"/>
              </w:divBdr>
              <w:divsChild>
                <w:div w:id="445663059">
                  <w:marLeft w:val="0"/>
                  <w:marRight w:val="0"/>
                  <w:marTop w:val="0"/>
                  <w:marBottom w:val="0"/>
                  <w:divBdr>
                    <w:top w:val="none" w:sz="0" w:space="0" w:color="auto"/>
                    <w:left w:val="none" w:sz="0" w:space="0" w:color="auto"/>
                    <w:bottom w:val="none" w:sz="0" w:space="0" w:color="auto"/>
                    <w:right w:val="none" w:sz="0" w:space="0" w:color="auto"/>
                  </w:divBdr>
                  <w:divsChild>
                    <w:div w:id="106431709">
                      <w:marLeft w:val="0"/>
                      <w:marRight w:val="0"/>
                      <w:marTop w:val="0"/>
                      <w:marBottom w:val="0"/>
                      <w:divBdr>
                        <w:top w:val="none" w:sz="0" w:space="0" w:color="auto"/>
                        <w:left w:val="none" w:sz="0" w:space="0" w:color="auto"/>
                        <w:bottom w:val="none" w:sz="0" w:space="0" w:color="auto"/>
                        <w:right w:val="none" w:sz="0" w:space="0" w:color="auto"/>
                      </w:divBdr>
                      <w:divsChild>
                        <w:div w:id="1761370099">
                          <w:marLeft w:val="0"/>
                          <w:marRight w:val="0"/>
                          <w:marTop w:val="0"/>
                          <w:marBottom w:val="0"/>
                          <w:divBdr>
                            <w:top w:val="none" w:sz="0" w:space="0" w:color="auto"/>
                            <w:left w:val="none" w:sz="0" w:space="0" w:color="auto"/>
                            <w:bottom w:val="none" w:sz="0" w:space="0" w:color="auto"/>
                            <w:right w:val="none" w:sz="0" w:space="0" w:color="auto"/>
                          </w:divBdr>
                          <w:divsChild>
                            <w:div w:id="2138570881">
                              <w:marLeft w:val="0"/>
                              <w:marRight w:val="0"/>
                              <w:marTop w:val="0"/>
                              <w:marBottom w:val="0"/>
                              <w:divBdr>
                                <w:top w:val="none" w:sz="0" w:space="0" w:color="auto"/>
                                <w:left w:val="none" w:sz="0" w:space="0" w:color="auto"/>
                                <w:bottom w:val="none" w:sz="0" w:space="0" w:color="auto"/>
                                <w:right w:val="none" w:sz="0" w:space="0" w:color="auto"/>
                              </w:divBdr>
                              <w:divsChild>
                                <w:div w:id="1785923181">
                                  <w:marLeft w:val="0"/>
                                  <w:marRight w:val="0"/>
                                  <w:marTop w:val="0"/>
                                  <w:marBottom w:val="0"/>
                                  <w:divBdr>
                                    <w:top w:val="single" w:sz="24" w:space="0" w:color="1A1A1A"/>
                                    <w:left w:val="single" w:sz="24" w:space="0" w:color="1A1A1A"/>
                                    <w:bottom w:val="single" w:sz="24" w:space="0" w:color="1A1A1A"/>
                                    <w:right w:val="single" w:sz="24" w:space="0" w:color="1A1A1A"/>
                                  </w:divBdr>
                                  <w:divsChild>
                                    <w:div w:id="932400423">
                                      <w:marLeft w:val="0"/>
                                      <w:marRight w:val="0"/>
                                      <w:marTop w:val="0"/>
                                      <w:marBottom w:val="0"/>
                                      <w:divBdr>
                                        <w:top w:val="none" w:sz="0" w:space="0" w:color="auto"/>
                                        <w:left w:val="none" w:sz="0" w:space="0" w:color="auto"/>
                                        <w:bottom w:val="none" w:sz="0" w:space="0" w:color="auto"/>
                                        <w:right w:val="none" w:sz="0" w:space="0" w:color="auto"/>
                                      </w:divBdr>
                                      <w:divsChild>
                                        <w:div w:id="764497316">
                                          <w:marLeft w:val="0"/>
                                          <w:marRight w:val="0"/>
                                          <w:marTop w:val="0"/>
                                          <w:marBottom w:val="0"/>
                                          <w:divBdr>
                                            <w:top w:val="none" w:sz="0" w:space="0" w:color="auto"/>
                                            <w:left w:val="none" w:sz="0" w:space="0" w:color="auto"/>
                                            <w:bottom w:val="none" w:sz="0" w:space="0" w:color="auto"/>
                                            <w:right w:val="none" w:sz="0" w:space="0" w:color="auto"/>
                                          </w:divBdr>
                                          <w:divsChild>
                                            <w:div w:id="1769815085">
                                              <w:marLeft w:val="0"/>
                                              <w:marRight w:val="0"/>
                                              <w:marTop w:val="0"/>
                                              <w:marBottom w:val="0"/>
                                              <w:divBdr>
                                                <w:top w:val="none" w:sz="0" w:space="0" w:color="auto"/>
                                                <w:left w:val="none" w:sz="0" w:space="0" w:color="auto"/>
                                                <w:bottom w:val="none" w:sz="0" w:space="0" w:color="auto"/>
                                                <w:right w:val="none" w:sz="0" w:space="0" w:color="auto"/>
                                              </w:divBdr>
                                              <w:divsChild>
                                                <w:div w:id="1498618059">
                                                  <w:marLeft w:val="0"/>
                                                  <w:marRight w:val="0"/>
                                                  <w:marTop w:val="0"/>
                                                  <w:marBottom w:val="0"/>
                                                  <w:divBdr>
                                                    <w:top w:val="none" w:sz="0" w:space="0" w:color="auto"/>
                                                    <w:left w:val="none" w:sz="0" w:space="0" w:color="auto"/>
                                                    <w:bottom w:val="none" w:sz="0" w:space="0" w:color="auto"/>
                                                    <w:right w:val="none" w:sz="0" w:space="0" w:color="auto"/>
                                                  </w:divBdr>
                                                  <w:divsChild>
                                                    <w:div w:id="1472479052">
                                                      <w:marLeft w:val="0"/>
                                                      <w:marRight w:val="0"/>
                                                      <w:marTop w:val="0"/>
                                                      <w:marBottom w:val="0"/>
                                                      <w:divBdr>
                                                        <w:top w:val="none" w:sz="0" w:space="0" w:color="auto"/>
                                                        <w:left w:val="none" w:sz="0" w:space="0" w:color="auto"/>
                                                        <w:bottom w:val="none" w:sz="0" w:space="0" w:color="auto"/>
                                                        <w:right w:val="none" w:sz="0" w:space="0" w:color="auto"/>
                                                      </w:divBdr>
                                                      <w:divsChild>
                                                        <w:div w:id="29310382">
                                                          <w:marLeft w:val="0"/>
                                                          <w:marRight w:val="0"/>
                                                          <w:marTop w:val="0"/>
                                                          <w:marBottom w:val="0"/>
                                                          <w:divBdr>
                                                            <w:top w:val="none" w:sz="0" w:space="0" w:color="auto"/>
                                                            <w:left w:val="none" w:sz="0" w:space="0" w:color="auto"/>
                                                            <w:bottom w:val="none" w:sz="0" w:space="0" w:color="auto"/>
                                                            <w:right w:val="none" w:sz="0" w:space="0" w:color="auto"/>
                                                          </w:divBdr>
                                                          <w:divsChild>
                                                            <w:div w:id="433332707">
                                                              <w:marLeft w:val="0"/>
                                                              <w:marRight w:val="0"/>
                                                              <w:marTop w:val="0"/>
                                                              <w:marBottom w:val="0"/>
                                                              <w:divBdr>
                                                                <w:top w:val="none" w:sz="0" w:space="0" w:color="auto"/>
                                                                <w:left w:val="none" w:sz="0" w:space="0" w:color="auto"/>
                                                                <w:bottom w:val="none" w:sz="0" w:space="0" w:color="auto"/>
                                                                <w:right w:val="none" w:sz="0" w:space="0" w:color="auto"/>
                                                              </w:divBdr>
                                                              <w:divsChild>
                                                                <w:div w:id="1853520835">
                                                                  <w:marLeft w:val="0"/>
                                                                  <w:marRight w:val="0"/>
                                                                  <w:marTop w:val="0"/>
                                                                  <w:marBottom w:val="0"/>
                                                                  <w:divBdr>
                                                                    <w:top w:val="none" w:sz="0" w:space="0" w:color="auto"/>
                                                                    <w:left w:val="none" w:sz="0" w:space="0" w:color="auto"/>
                                                                    <w:bottom w:val="none" w:sz="0" w:space="0" w:color="auto"/>
                                                                    <w:right w:val="none" w:sz="0" w:space="0" w:color="auto"/>
                                                                  </w:divBdr>
                                                                  <w:divsChild>
                                                                    <w:div w:id="1708484391">
                                                                      <w:marLeft w:val="0"/>
                                                                      <w:marRight w:val="0"/>
                                                                      <w:marTop w:val="0"/>
                                                                      <w:marBottom w:val="0"/>
                                                                      <w:divBdr>
                                                                        <w:top w:val="none" w:sz="0" w:space="0" w:color="auto"/>
                                                                        <w:left w:val="none" w:sz="0" w:space="0" w:color="auto"/>
                                                                        <w:bottom w:val="none" w:sz="0" w:space="0" w:color="auto"/>
                                                                        <w:right w:val="none" w:sz="0" w:space="0" w:color="auto"/>
                                                                      </w:divBdr>
                                                                      <w:divsChild>
                                                                        <w:div w:id="1323654483">
                                                                          <w:marLeft w:val="0"/>
                                                                          <w:marRight w:val="0"/>
                                                                          <w:marTop w:val="0"/>
                                                                          <w:marBottom w:val="0"/>
                                                                          <w:divBdr>
                                                                            <w:top w:val="single" w:sz="24" w:space="0" w:color="1A1A1A"/>
                                                                            <w:left w:val="single" w:sz="24" w:space="0" w:color="1A1A1A"/>
                                                                            <w:bottom w:val="single" w:sz="24" w:space="0" w:color="1A1A1A"/>
                                                                            <w:right w:val="single" w:sz="24" w:space="0" w:color="1A1A1A"/>
                                                                          </w:divBdr>
                                                                          <w:divsChild>
                                                                            <w:div w:id="173807069">
                                                                              <w:marLeft w:val="0"/>
                                                                              <w:marRight w:val="0"/>
                                                                              <w:marTop w:val="0"/>
                                                                              <w:marBottom w:val="0"/>
                                                                              <w:divBdr>
                                                                                <w:top w:val="none" w:sz="0" w:space="0" w:color="auto"/>
                                                                                <w:left w:val="none" w:sz="0" w:space="0" w:color="auto"/>
                                                                                <w:bottom w:val="none" w:sz="0" w:space="0" w:color="auto"/>
                                                                                <w:right w:val="none" w:sz="0" w:space="0" w:color="auto"/>
                                                                              </w:divBdr>
                                                                              <w:divsChild>
                                                                                <w:div w:id="1974172431">
                                                                                  <w:marLeft w:val="0"/>
                                                                                  <w:marRight w:val="0"/>
                                                                                  <w:marTop w:val="0"/>
                                                                                  <w:marBottom w:val="0"/>
                                                                                  <w:divBdr>
                                                                                    <w:top w:val="none" w:sz="0" w:space="0" w:color="auto"/>
                                                                                    <w:left w:val="none" w:sz="0" w:space="0" w:color="auto"/>
                                                                                    <w:bottom w:val="none" w:sz="0" w:space="0" w:color="auto"/>
                                                                                    <w:right w:val="none" w:sz="0" w:space="0" w:color="auto"/>
                                                                                  </w:divBdr>
                                                                                  <w:divsChild>
                                                                                    <w:div w:id="12106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5258847">
                                                  <w:marLeft w:val="0"/>
                                                  <w:marRight w:val="0"/>
                                                  <w:marTop w:val="0"/>
                                                  <w:marBottom w:val="0"/>
                                                  <w:divBdr>
                                                    <w:top w:val="none" w:sz="0" w:space="0" w:color="auto"/>
                                                    <w:left w:val="none" w:sz="0" w:space="0" w:color="auto"/>
                                                    <w:bottom w:val="none" w:sz="0" w:space="0" w:color="auto"/>
                                                    <w:right w:val="none" w:sz="0" w:space="0" w:color="auto"/>
                                                  </w:divBdr>
                                                  <w:divsChild>
                                                    <w:div w:id="2052000242">
                                                      <w:marLeft w:val="0"/>
                                                      <w:marRight w:val="0"/>
                                                      <w:marTop w:val="0"/>
                                                      <w:marBottom w:val="0"/>
                                                      <w:divBdr>
                                                        <w:top w:val="none" w:sz="0" w:space="0" w:color="auto"/>
                                                        <w:left w:val="none" w:sz="0" w:space="0" w:color="auto"/>
                                                        <w:bottom w:val="none" w:sz="0" w:space="0" w:color="auto"/>
                                                        <w:right w:val="none" w:sz="0" w:space="0" w:color="auto"/>
                                                      </w:divBdr>
                                                      <w:divsChild>
                                                        <w:div w:id="471799571">
                                                          <w:marLeft w:val="0"/>
                                                          <w:marRight w:val="0"/>
                                                          <w:marTop w:val="0"/>
                                                          <w:marBottom w:val="0"/>
                                                          <w:divBdr>
                                                            <w:top w:val="none" w:sz="0" w:space="0" w:color="auto"/>
                                                            <w:left w:val="none" w:sz="0" w:space="0" w:color="auto"/>
                                                            <w:bottom w:val="none" w:sz="0" w:space="0" w:color="auto"/>
                                                            <w:right w:val="none" w:sz="0" w:space="0" w:color="auto"/>
                                                          </w:divBdr>
                                                          <w:divsChild>
                                                            <w:div w:id="248543638">
                                                              <w:marLeft w:val="0"/>
                                                              <w:marRight w:val="0"/>
                                                              <w:marTop w:val="0"/>
                                                              <w:marBottom w:val="0"/>
                                                              <w:divBdr>
                                                                <w:top w:val="none" w:sz="0" w:space="0" w:color="auto"/>
                                                                <w:left w:val="none" w:sz="0" w:space="0" w:color="auto"/>
                                                                <w:bottom w:val="none" w:sz="0" w:space="0" w:color="auto"/>
                                                                <w:right w:val="none" w:sz="0" w:space="0" w:color="auto"/>
                                                              </w:divBdr>
                                                              <w:divsChild>
                                                                <w:div w:id="254901787">
                                                                  <w:marLeft w:val="0"/>
                                                                  <w:marRight w:val="0"/>
                                                                  <w:marTop w:val="0"/>
                                                                  <w:marBottom w:val="0"/>
                                                                  <w:divBdr>
                                                                    <w:top w:val="none" w:sz="0" w:space="0" w:color="auto"/>
                                                                    <w:left w:val="none" w:sz="0" w:space="0" w:color="auto"/>
                                                                    <w:bottom w:val="none" w:sz="0" w:space="0" w:color="auto"/>
                                                                    <w:right w:val="none" w:sz="0" w:space="0" w:color="auto"/>
                                                                  </w:divBdr>
                                                                  <w:divsChild>
                                                                    <w:div w:id="1395741902">
                                                                      <w:marLeft w:val="0"/>
                                                                      <w:marRight w:val="0"/>
                                                                      <w:marTop w:val="0"/>
                                                                      <w:marBottom w:val="0"/>
                                                                      <w:divBdr>
                                                                        <w:top w:val="none" w:sz="0" w:space="0" w:color="auto"/>
                                                                        <w:left w:val="none" w:sz="0" w:space="0" w:color="auto"/>
                                                                        <w:bottom w:val="none" w:sz="0" w:space="0" w:color="auto"/>
                                                                        <w:right w:val="none" w:sz="0" w:space="0" w:color="auto"/>
                                                                      </w:divBdr>
                                                                      <w:divsChild>
                                                                        <w:div w:id="1571229979">
                                                                          <w:marLeft w:val="0"/>
                                                                          <w:marRight w:val="0"/>
                                                                          <w:marTop w:val="0"/>
                                                                          <w:marBottom w:val="0"/>
                                                                          <w:divBdr>
                                                                            <w:top w:val="none" w:sz="0" w:space="0" w:color="auto"/>
                                                                            <w:left w:val="none" w:sz="0" w:space="0" w:color="auto"/>
                                                                            <w:bottom w:val="none" w:sz="0" w:space="0" w:color="auto"/>
                                                                            <w:right w:val="none" w:sz="0" w:space="0" w:color="auto"/>
                                                                          </w:divBdr>
                                                                          <w:divsChild>
                                                                            <w:div w:id="266038205">
                                                                              <w:marLeft w:val="0"/>
                                                                              <w:marRight w:val="0"/>
                                                                              <w:marTop w:val="0"/>
                                                                              <w:marBottom w:val="0"/>
                                                                              <w:divBdr>
                                                                                <w:top w:val="none" w:sz="0" w:space="0" w:color="auto"/>
                                                                                <w:left w:val="none" w:sz="0" w:space="0" w:color="auto"/>
                                                                                <w:bottom w:val="none" w:sz="0" w:space="0" w:color="auto"/>
                                                                                <w:right w:val="none" w:sz="0" w:space="0" w:color="auto"/>
                                                                              </w:divBdr>
                                                                              <w:divsChild>
                                                                                <w:div w:id="1822959903">
                                                                                  <w:marLeft w:val="0"/>
                                                                                  <w:marRight w:val="0"/>
                                                                                  <w:marTop w:val="0"/>
                                                                                  <w:marBottom w:val="0"/>
                                                                                  <w:divBdr>
                                                                                    <w:top w:val="none" w:sz="0" w:space="0" w:color="auto"/>
                                                                                    <w:left w:val="none" w:sz="0" w:space="0" w:color="auto"/>
                                                                                    <w:bottom w:val="none" w:sz="0" w:space="0" w:color="auto"/>
                                                                                    <w:right w:val="none" w:sz="0" w:space="0" w:color="auto"/>
                                                                                  </w:divBdr>
                                                                                  <w:divsChild>
                                                                                    <w:div w:id="9511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5901">
                                                                              <w:marLeft w:val="0"/>
                                                                              <w:marRight w:val="0"/>
                                                                              <w:marTop w:val="0"/>
                                                                              <w:marBottom w:val="0"/>
                                                                              <w:divBdr>
                                                                                <w:top w:val="none" w:sz="0" w:space="0" w:color="auto"/>
                                                                                <w:left w:val="none" w:sz="0" w:space="0" w:color="auto"/>
                                                                                <w:bottom w:val="none" w:sz="0" w:space="0" w:color="auto"/>
                                                                                <w:right w:val="none" w:sz="0" w:space="0" w:color="auto"/>
                                                                              </w:divBdr>
                                                                              <w:divsChild>
                                                                                <w:div w:id="15825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728030">
                                                                      <w:marLeft w:val="0"/>
                                                                      <w:marRight w:val="0"/>
                                                                      <w:marTop w:val="0"/>
                                                                      <w:marBottom w:val="0"/>
                                                                      <w:divBdr>
                                                                        <w:top w:val="none" w:sz="0" w:space="0" w:color="auto"/>
                                                                        <w:left w:val="none" w:sz="0" w:space="0" w:color="auto"/>
                                                                        <w:bottom w:val="none" w:sz="0" w:space="0" w:color="auto"/>
                                                                        <w:right w:val="none" w:sz="0" w:space="0" w:color="auto"/>
                                                                      </w:divBdr>
                                                                      <w:divsChild>
                                                                        <w:div w:id="90979510">
                                                                          <w:marLeft w:val="0"/>
                                                                          <w:marRight w:val="0"/>
                                                                          <w:marTop w:val="0"/>
                                                                          <w:marBottom w:val="0"/>
                                                                          <w:divBdr>
                                                                            <w:top w:val="none" w:sz="0" w:space="0" w:color="auto"/>
                                                                            <w:left w:val="none" w:sz="0" w:space="0" w:color="auto"/>
                                                                            <w:bottom w:val="none" w:sz="0" w:space="0" w:color="auto"/>
                                                                            <w:right w:val="none" w:sz="0" w:space="0" w:color="auto"/>
                                                                          </w:divBdr>
                                                                          <w:divsChild>
                                                                            <w:div w:id="209952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gov.on.ca/en/consultations/cu-cp/moclf.html"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C63907-E92F-49B4-B92E-DF1B473E8C5B}"/>
</file>

<file path=customXml/itemProps2.xml><?xml version="1.0" encoding="utf-8"?>
<ds:datastoreItem xmlns:ds="http://schemas.openxmlformats.org/officeDocument/2006/customXml" ds:itemID="{DF01836B-664D-4AF6-B6A0-3B8BDF653C4D}"/>
</file>

<file path=customXml/itemProps3.xml><?xml version="1.0" encoding="utf-8"?>
<ds:datastoreItem xmlns:ds="http://schemas.openxmlformats.org/officeDocument/2006/customXml" ds:itemID="{24F2E899-55FC-46FF-9EDD-517D8FFDD80A}"/>
</file>

<file path=customXml/itemProps4.xml><?xml version="1.0" encoding="utf-8"?>
<ds:datastoreItem xmlns:ds="http://schemas.openxmlformats.org/officeDocument/2006/customXml" ds:itemID="{A25FB8C0-2C9B-4886-A80A-7BA827CDCDB1}"/>
</file>

<file path=docProps/app.xml><?xml version="1.0" encoding="utf-8"?>
<Properties xmlns="http://schemas.openxmlformats.org/officeDocument/2006/extended-properties" xmlns:vt="http://schemas.openxmlformats.org/officeDocument/2006/docPropsVTypes">
  <Template>Normal</Template>
  <TotalTime>1</TotalTime>
  <Pages>7</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Furtney</dc:creator>
  <cp:keywords/>
  <dc:description/>
  <cp:lastModifiedBy>Yan Xu</cp:lastModifiedBy>
  <cp:revision>2</cp:revision>
  <cp:lastPrinted>2021-08-01T14:51:00Z</cp:lastPrinted>
  <dcterms:created xsi:type="dcterms:W3CDTF">2021-09-13T15:50:00Z</dcterms:created>
  <dcterms:modified xsi:type="dcterms:W3CDTF">2021-09-13T15:50:00Z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c5608e-3929-467e-bfcd-19caec4d7edc_Enabled">
    <vt:lpwstr>True</vt:lpwstr>
  </property>
  <property fmtid="{D5CDD505-2E9C-101B-9397-08002B2CF9AE}" pid="3" name="MSIP_Label_74c5608e-3929-467e-bfcd-19caec4d7edc_SiteId">
    <vt:lpwstr>c40ee2b0-9e6a-497c-ab4d-62dd37163961</vt:lpwstr>
  </property>
  <property fmtid="{D5CDD505-2E9C-101B-9397-08002B2CF9AE}" pid="4" name="MSIP_Label_74c5608e-3929-467e-bfcd-19caec4d7edc_Owner">
    <vt:lpwstr>Jose.Gallant@alterna.ca</vt:lpwstr>
  </property>
  <property fmtid="{D5CDD505-2E9C-101B-9397-08002B2CF9AE}" pid="5" name="MSIP_Label_74c5608e-3929-467e-bfcd-19caec4d7edc_SetDate">
    <vt:lpwstr>2021-08-01T20:10:35.1549428Z</vt:lpwstr>
  </property>
  <property fmtid="{D5CDD505-2E9C-101B-9397-08002B2CF9AE}" pid="6" name="MSIP_Label_74c5608e-3929-467e-bfcd-19caec4d7edc_Name">
    <vt:lpwstr>NO CLASSIFICATION</vt:lpwstr>
  </property>
  <property fmtid="{D5CDD505-2E9C-101B-9397-08002B2CF9AE}" pid="7" name="MSIP_Label_74c5608e-3929-467e-bfcd-19caec4d7edc_Application">
    <vt:lpwstr>Microsoft Azure Information Protection</vt:lpwstr>
  </property>
  <property fmtid="{D5CDD505-2E9C-101B-9397-08002B2CF9AE}" pid="8" name="MSIP_Label_74c5608e-3929-467e-bfcd-19caec4d7edc_ActionId">
    <vt:lpwstr>ff8c268c-4cb0-4c25-b4d9-5fe05c60e7d5</vt:lpwstr>
  </property>
  <property fmtid="{D5CDD505-2E9C-101B-9397-08002B2CF9AE}" pid="9" name="MSIP_Label_74c5608e-3929-467e-bfcd-19caec4d7edc_Extended_MSFT_Method">
    <vt:lpwstr>Manual</vt:lpwstr>
  </property>
  <property fmtid="{D5CDD505-2E9C-101B-9397-08002B2CF9AE}" pid="10" name="Sensitivity">
    <vt:lpwstr>NO CLASSIFICATION</vt:lpwstr>
  </property>
</Properties>
</file>