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15A" w14:textId="487D2BFF" w:rsidR="004731CD" w:rsidRPr="00FB49FF" w:rsidRDefault="00FB49FF" w:rsidP="00D338D7">
      <w:pPr>
        <w:pStyle w:val="Heading1"/>
      </w:pPr>
      <w:r w:rsidRPr="00FB49FF">
        <w:t xml:space="preserve">Understanding the Three Pillars of Retirement  </w:t>
      </w:r>
    </w:p>
    <w:p w14:paraId="75FFA0E4" w14:textId="703C3965" w:rsidR="00643AC2" w:rsidRPr="00643AC2" w:rsidRDefault="00FB49FF" w:rsidP="00FB49FF">
      <w:pPr>
        <w:pStyle w:val="Heading2"/>
        <w:rPr>
          <w:b w:val="0"/>
          <w:bCs w:val="0"/>
          <w:sz w:val="24"/>
          <w:szCs w:val="24"/>
        </w:rPr>
      </w:pPr>
      <w:r w:rsidRPr="00FB49FF">
        <w:rPr>
          <w:b w:val="0"/>
          <w:bCs w:val="0"/>
          <w:sz w:val="24"/>
          <w:szCs w:val="24"/>
        </w:rPr>
        <w:t xml:space="preserve">Retirement might feel like a lifetime away, especially if you’ve just started working. The truth is, the earlier you understand how planning for your retirement works, the better prepared you’ll be. In Canada, retirement income typically comes from three main sources: government programs, workplace pensions, and personal savings. These are often called the “three pillars” of retirement, and together they form the foundation of your financial future.   </w:t>
      </w:r>
      <w:r w:rsidR="00643AC2">
        <w:rPr>
          <w:b w:val="0"/>
          <w:bCs w:val="0"/>
          <w:sz w:val="24"/>
          <w:szCs w:val="24"/>
        </w:rPr>
        <w:br/>
      </w:r>
    </w:p>
    <w:p w14:paraId="2F75E49A" w14:textId="6B551606" w:rsidR="00643AC2" w:rsidRDefault="00FB49FF" w:rsidP="00FB49FF">
      <w:pPr>
        <w:pStyle w:val="Heading2"/>
      </w:pPr>
      <w:r w:rsidRPr="00FB49FF">
        <w:t>The three pillars of retirement planning</w:t>
      </w:r>
    </w:p>
    <w:p w14:paraId="52076BCD" w14:textId="77777777" w:rsidR="00FB49FF" w:rsidRDefault="00FB49FF" w:rsidP="00FB49FF">
      <w:pPr>
        <w:numPr>
          <w:ilvl w:val="0"/>
          <w:numId w:val="12"/>
        </w:numPr>
        <w:tabs>
          <w:tab w:val="num" w:pos="720"/>
        </w:tabs>
        <w:spacing w:after="360" w:line="360" w:lineRule="exact"/>
      </w:pPr>
      <w:r w:rsidRPr="00FB49FF">
        <w:t>Government programs: </w:t>
      </w:r>
    </w:p>
    <w:p w14:paraId="14E21BB0" w14:textId="77777777" w:rsidR="00FB49FF" w:rsidRDefault="00FB49FF" w:rsidP="00FB49FF">
      <w:pPr>
        <w:spacing w:after="360" w:line="360" w:lineRule="exact"/>
        <w:ind w:left="360"/>
      </w:pPr>
      <w:r w:rsidRPr="00FB49FF">
        <w:t>This is money the government provides to help support you when you retire. Government programs provide a base level of income in retirement that may not be enough to fully cover living expenses. There are three government-sponsored retirement programs: </w:t>
      </w:r>
    </w:p>
    <w:p w14:paraId="5526317E" w14:textId="27B2E403" w:rsidR="00FB49FF" w:rsidRPr="00FB49FF" w:rsidRDefault="00FB49FF" w:rsidP="00FB49FF">
      <w:pPr>
        <w:pStyle w:val="ListParagraph"/>
        <w:numPr>
          <w:ilvl w:val="0"/>
          <w:numId w:val="22"/>
        </w:numPr>
        <w:spacing w:after="360" w:line="360" w:lineRule="exact"/>
      </w:pPr>
      <w:r w:rsidRPr="00FB49FF">
        <w:rPr>
          <w:b/>
          <w:bCs/>
        </w:rPr>
        <w:t>Canada Pension Plan (CPP)</w:t>
      </w:r>
      <w:r w:rsidRPr="00FB49FF">
        <w:t> or </w:t>
      </w:r>
      <w:r w:rsidRPr="00FB49FF">
        <w:rPr>
          <w:b/>
          <w:bCs/>
        </w:rPr>
        <w:t>Quebec Pension Plan (QPP)</w:t>
      </w:r>
      <w:r w:rsidRPr="00FB49FF">
        <w:t>: The CPP is a government sponsored pension plan overseen by the federal government and the provinces (other than Quebec, which operates the QPP). If you are employed in Canada, are over age 18 and earn more than $3,500 a year (with some exceptions), you and your employer both contribute to the </w:t>
      </w:r>
      <w:hyperlink r:id="rId11" w:tgtFrame="_blank" w:history="1">
        <w:r w:rsidRPr="00FB49FF">
          <w:rPr>
            <w:rStyle w:val="Hyperlink"/>
          </w:rPr>
          <w:t>CPP</w:t>
        </w:r>
      </w:hyperlink>
      <w:r w:rsidRPr="00FB49FF">
        <w:t> or, in Quebec, the </w:t>
      </w:r>
      <w:hyperlink r:id="rId12" w:tgtFrame="_blank" w:history="1">
        <w:r w:rsidRPr="00FB49FF">
          <w:rPr>
            <w:rStyle w:val="Hyperlink"/>
          </w:rPr>
          <w:t>QPP</w:t>
        </w:r>
      </w:hyperlink>
      <w:r w:rsidRPr="00FB49FF">
        <w:t>. Contributions are based on how much you earn, with your employer paying half and you paying the other half. </w:t>
      </w:r>
    </w:p>
    <w:p w14:paraId="3545A4F0" w14:textId="77777777" w:rsidR="00FB49FF" w:rsidRPr="00FB49FF" w:rsidRDefault="00FB49FF" w:rsidP="00FB49FF">
      <w:pPr>
        <w:spacing w:after="360" w:line="360" w:lineRule="exact"/>
        <w:ind w:left="720"/>
      </w:pPr>
      <w:r w:rsidRPr="00FB49FF">
        <w:t>When you retire, you’ll receive monthly payments that are generally based on how much you contributed, for how long you contributed after age 18, and </w:t>
      </w:r>
      <w:r w:rsidRPr="00FB49FF">
        <w:rPr>
          <w:lang w:val="en-US"/>
        </w:rPr>
        <w:t>at what age you begin to receive benefits</w:t>
      </w:r>
      <w:r w:rsidRPr="00FB49FF">
        <w:t>. The standard age to start receiving benefits is 65, but you can start as early as 60 or </w:t>
      </w:r>
      <w:r w:rsidRPr="00FB49FF">
        <w:rPr>
          <w:lang w:val="en-US"/>
        </w:rPr>
        <w:t>as late as 70 (or 72 for QPP). </w:t>
      </w:r>
      <w:r w:rsidRPr="00FB49FF">
        <w:t> </w:t>
      </w:r>
    </w:p>
    <w:p w14:paraId="4BD54FD2" w14:textId="77777777" w:rsidR="00FB49FF" w:rsidRPr="00FB49FF" w:rsidRDefault="00FB49FF" w:rsidP="00FB49FF">
      <w:pPr>
        <w:numPr>
          <w:ilvl w:val="0"/>
          <w:numId w:val="14"/>
        </w:numPr>
        <w:spacing w:after="360" w:line="360" w:lineRule="exact"/>
      </w:pPr>
      <w:r w:rsidRPr="00FB49FF">
        <w:rPr>
          <w:b/>
          <w:bCs/>
        </w:rPr>
        <w:t>Old Age Security (OAS): </w:t>
      </w:r>
      <w:r w:rsidRPr="00FB49FF">
        <w:t>This is a monthly payment most Canadians can start receiving once they turn 65, but it can also be deferred up to age 70 to receive a higher amount. It’s based on </w:t>
      </w:r>
      <w:r w:rsidRPr="00FB49FF">
        <w:rPr>
          <w:lang w:val="en-US"/>
        </w:rPr>
        <w:t>how long you’ve lived in Canada</w:t>
      </w:r>
      <w:r w:rsidRPr="00FB49FF">
        <w:t xml:space="preserve"> after age </w:t>
      </w:r>
      <w:r w:rsidRPr="00FB49FF">
        <w:lastRenderedPageBreak/>
        <w:t>18, </w:t>
      </w:r>
      <w:r w:rsidRPr="00FB49FF">
        <w:rPr>
          <w:lang w:val="en-US"/>
        </w:rPr>
        <w:t>the amount of your other retirement income and the age at which you start receiving </w:t>
      </w:r>
      <w:hyperlink r:id="rId13" w:tgtFrame="_blank" w:history="1">
        <w:r w:rsidRPr="00FB49FF">
          <w:rPr>
            <w:rStyle w:val="Hyperlink"/>
            <w:lang w:val="en-US"/>
          </w:rPr>
          <w:t>OAS</w:t>
        </w:r>
      </w:hyperlink>
      <w:r w:rsidRPr="00FB49FF">
        <w:rPr>
          <w:lang w:val="en-US"/>
        </w:rPr>
        <w:t>. To receive the maximum OAS payment, you must have lived in Canada for at least 40 years (after age 18). To receive a partial OAS payment, you must have lived in Canada for at least 10 years (after age 18). </w:t>
      </w:r>
      <w:r w:rsidRPr="00FB49FF">
        <w:t> </w:t>
      </w:r>
    </w:p>
    <w:p w14:paraId="0758FB51" w14:textId="23C34C0D" w:rsidR="00FB49FF" w:rsidRPr="00FB49FF" w:rsidRDefault="00FB49FF" w:rsidP="00FB49FF">
      <w:pPr>
        <w:numPr>
          <w:ilvl w:val="0"/>
          <w:numId w:val="15"/>
        </w:numPr>
        <w:spacing w:after="360" w:line="360" w:lineRule="exact"/>
      </w:pPr>
      <w:r w:rsidRPr="00FB49FF">
        <w:rPr>
          <w:b/>
          <w:bCs/>
        </w:rPr>
        <w:t>Guaranteed Income Supplement (GIS): </w:t>
      </w:r>
      <w:r w:rsidRPr="00FB49FF">
        <w:t>T</w:t>
      </w:r>
      <w:r w:rsidRPr="00FB49FF">
        <w:rPr>
          <w:lang w:val="en-US"/>
        </w:rPr>
        <w:t>he </w:t>
      </w:r>
      <w:hyperlink r:id="rId14" w:tgtFrame="_blank" w:history="1">
        <w:r w:rsidRPr="00FB49FF">
          <w:rPr>
            <w:rStyle w:val="Hyperlink"/>
            <w:lang w:val="en-US"/>
          </w:rPr>
          <w:t>GIS</w:t>
        </w:r>
      </w:hyperlink>
      <w:r w:rsidRPr="00FB49FF">
        <w:rPr>
          <w:lang w:val="en-US"/>
        </w:rPr>
        <w:t> is non-taxable top-up of OAS for low-income seniors. </w:t>
      </w:r>
      <w:r w:rsidRPr="00FB49FF">
        <w:t>You don’t need to apply separately. Service Canada usually handles enrollment when you start OAS. The amount you receive will vary based on your income and marital status. </w:t>
      </w:r>
    </w:p>
    <w:p w14:paraId="7BAE035A" w14:textId="77777777" w:rsidR="00FB49FF" w:rsidRPr="00FB49FF" w:rsidRDefault="00FB49FF" w:rsidP="00FB49FF">
      <w:pPr>
        <w:numPr>
          <w:ilvl w:val="0"/>
          <w:numId w:val="16"/>
        </w:numPr>
        <w:spacing w:after="360" w:line="360" w:lineRule="exact"/>
      </w:pPr>
      <w:r w:rsidRPr="00FB49FF">
        <w:t>Workplace pension plans and group savings plans [customize this section based on what type of plan your organization</w:t>
      </w:r>
      <w:r w:rsidRPr="00FB49FF">
        <w:rPr>
          <w:b/>
          <w:bCs/>
        </w:rPr>
        <w:t> </w:t>
      </w:r>
      <w:r w:rsidRPr="00FB49FF">
        <w:t>offers]:  </w:t>
      </w:r>
    </w:p>
    <w:p w14:paraId="5DC384FC" w14:textId="77777777" w:rsidR="00FB49FF" w:rsidRPr="00FB49FF" w:rsidRDefault="00FB49FF" w:rsidP="00FB49FF">
      <w:pPr>
        <w:spacing w:after="360" w:line="360" w:lineRule="exact"/>
        <w:ind w:left="360"/>
      </w:pPr>
      <w:r w:rsidRPr="00FB49FF">
        <w:t>These are plans for providing income in retirement your employer might offer, which include: </w:t>
      </w:r>
    </w:p>
    <w:p w14:paraId="76722A37" w14:textId="607C2CBE" w:rsidR="00FB49FF" w:rsidRPr="00FB49FF" w:rsidRDefault="00FB49FF" w:rsidP="00FB49FF">
      <w:pPr>
        <w:numPr>
          <w:ilvl w:val="0"/>
          <w:numId w:val="17"/>
        </w:numPr>
        <w:spacing w:after="360" w:line="360" w:lineRule="exact"/>
      </w:pPr>
      <w:r w:rsidRPr="00FB49FF">
        <w:rPr>
          <w:b/>
          <w:bCs/>
        </w:rPr>
        <w:t>A Defined Benefit (DB), Defined Contribution (DC) or Target Benefit (TB) plan</w:t>
      </w:r>
      <w:r w:rsidRPr="00FB49FF">
        <w:t>. A DB plan gives you a monthly income in retirement, usually based on your years of service and salary, and is calculated using a formula outlined in the plan text. A DC plan accumulates contributions from you and/or your employer while you participate in the plan, and the amount you get at retirement depends on investment return before and after retirement. A TB plan pays a lifetime income, based on a target benefit formula. The amount you receive may be reduced if the plan’s funding or investment returns fall short. </w:t>
      </w:r>
      <w:r w:rsidRPr="00FB49FF">
        <w:rPr>
          <w:lang w:val="en-US"/>
        </w:rPr>
        <w:t>Not every job comes with a pension, so it’s worth asking about this when you start a new job. </w:t>
      </w:r>
      <w:r w:rsidRPr="00FB49FF">
        <w:t> </w:t>
      </w:r>
    </w:p>
    <w:p w14:paraId="70E1A66C" w14:textId="20DB6019" w:rsidR="00FB49FF" w:rsidRPr="00FB49FF" w:rsidRDefault="00FB49FF" w:rsidP="00FB49FF">
      <w:pPr>
        <w:numPr>
          <w:ilvl w:val="0"/>
          <w:numId w:val="18"/>
        </w:numPr>
        <w:spacing w:after="360" w:line="360" w:lineRule="exact"/>
      </w:pPr>
      <w:r w:rsidRPr="00FB49FF">
        <w:rPr>
          <w:b/>
          <w:bCs/>
        </w:rPr>
        <w:t>Group savings plans, such as a group registered retirement savings plan (RRSP), a group tax-free savings account (TFSA) or deferred profit savings plan (DPSP),</w:t>
      </w:r>
      <w:r w:rsidRPr="00FB49FF">
        <w:t> typically allow you to make automatic contributions directly from your pay cheque. You (and sometimes your employer up to a specific amount) put money into an account. The amount you get in retirement depends on how much you save and how those savings grow. Not all workplaces provide access to group savings plans, so it’s important to ask. If you don’t have one, using personal savings plans and seeking advice from trusted financial professionals can help ensure retirement stays within reach.  </w:t>
      </w:r>
    </w:p>
    <w:p w14:paraId="1BBA64DD" w14:textId="77777777" w:rsidR="00FB49FF" w:rsidRPr="00FB49FF" w:rsidRDefault="00FB49FF" w:rsidP="00FB49FF">
      <w:pPr>
        <w:numPr>
          <w:ilvl w:val="0"/>
          <w:numId w:val="19"/>
        </w:numPr>
        <w:tabs>
          <w:tab w:val="clear" w:pos="360"/>
          <w:tab w:val="num" w:pos="720"/>
        </w:tabs>
        <w:spacing w:after="360" w:line="360" w:lineRule="exact"/>
      </w:pPr>
      <w:r w:rsidRPr="00FB49FF">
        <w:lastRenderedPageBreak/>
        <w:t>Personal Savings Plans: </w:t>
      </w:r>
    </w:p>
    <w:p w14:paraId="58BC2DDA" w14:textId="77777777" w:rsidR="00FB49FF" w:rsidRPr="00FB49FF" w:rsidRDefault="00FB49FF" w:rsidP="00FB49FF">
      <w:pPr>
        <w:spacing w:after="360" w:line="360" w:lineRule="exact"/>
        <w:ind w:left="360"/>
      </w:pPr>
      <w:r w:rsidRPr="00FB49FF">
        <w:t>This is money you save on your own to help support your retirement. The most common types are: </w:t>
      </w:r>
    </w:p>
    <w:p w14:paraId="4637ED8B" w14:textId="77777777" w:rsidR="00FB49FF" w:rsidRPr="00FB49FF" w:rsidRDefault="00FB49FF" w:rsidP="00FB49FF">
      <w:pPr>
        <w:numPr>
          <w:ilvl w:val="0"/>
          <w:numId w:val="20"/>
        </w:numPr>
        <w:spacing w:after="360" w:line="360" w:lineRule="exact"/>
      </w:pPr>
      <w:r w:rsidRPr="00FB49FF">
        <w:rPr>
          <w:b/>
          <w:bCs/>
        </w:rPr>
        <w:t>TFSAs</w:t>
      </w:r>
      <w:r w:rsidRPr="00FB49FF">
        <w:t>, personal savings using after-tax contributions that can grow tax free and help fill any gaps left by the other two pillars and give you more flexibility in retirement. Each year you can contribute up to a maximum annual limit plus additional contributions if you did not contribute the maximum in past years.  </w:t>
      </w:r>
    </w:p>
    <w:p w14:paraId="3745264F" w14:textId="789A3879" w:rsidR="00FB49FF" w:rsidRPr="00FB49FF" w:rsidRDefault="00FB49FF" w:rsidP="00FB49FF">
      <w:pPr>
        <w:numPr>
          <w:ilvl w:val="0"/>
          <w:numId w:val="21"/>
        </w:numPr>
        <w:spacing w:after="360" w:line="360" w:lineRule="exact"/>
      </w:pPr>
      <w:r w:rsidRPr="00FB49FF">
        <w:rPr>
          <w:b/>
          <w:bCs/>
        </w:rPr>
        <w:t>RRSPs</w:t>
      </w:r>
      <w:r w:rsidRPr="00FB49FF">
        <w:t>, which let you save for retirement while lowering your taxes today. The amount you can contribute is based on your earnings and whether you have a workplace pension plan. Your contributions grow tax free, just like a TFSA.  </w:t>
      </w:r>
    </w:p>
    <w:p w14:paraId="72DB73BF" w14:textId="77777777" w:rsidR="00FB49FF" w:rsidRPr="00FB49FF" w:rsidRDefault="00FB49FF" w:rsidP="00FB49FF">
      <w:pPr>
        <w:spacing w:after="360" w:line="360" w:lineRule="exact"/>
      </w:pPr>
      <w:r w:rsidRPr="00FB49FF">
        <w:t>Keep in mind, contributions to your RRSP are not taxed while withdrawals will be. Contributions to your TFSA are after tax and withdrawals will not be taxed. These facts must be considered as part of your retirement planning.  </w:t>
      </w:r>
    </w:p>
    <w:p w14:paraId="67F4586D" w14:textId="77777777" w:rsidR="00FB49FF" w:rsidRPr="00FB49FF" w:rsidRDefault="00FB49FF" w:rsidP="00FB49FF">
      <w:pPr>
        <w:spacing w:after="360" w:line="360" w:lineRule="exact"/>
        <w:rPr>
          <w:b/>
          <w:bCs/>
        </w:rPr>
      </w:pPr>
      <w:r w:rsidRPr="00FB49FF">
        <w:rPr>
          <w:b/>
          <w:bCs/>
          <w:u w:val="single"/>
        </w:rPr>
        <w:t>Sarah and Maneet’s retirement journey and outcome</w:t>
      </w:r>
      <w:r w:rsidRPr="00FB49FF">
        <w:rPr>
          <w:b/>
          <w:bCs/>
        </w:rPr>
        <w:t> </w:t>
      </w:r>
    </w:p>
    <w:p w14:paraId="23F1391F" w14:textId="0BC0BF26" w:rsidR="00FB49FF" w:rsidRPr="00FB49FF" w:rsidRDefault="00FB49FF" w:rsidP="00FB49FF">
      <w:pPr>
        <w:spacing w:after="360" w:line="360" w:lineRule="exact"/>
      </w:pPr>
      <w:r w:rsidRPr="00FB49FF">
        <w:t>Two friends, Sarah and Maneet graduated from business school in the same year and have each built a career in sales. Now both are 60 years old, and they plan to fully retire at age 65 while maintaining their current healthy and active lifestyles.</w:t>
      </w:r>
    </w:p>
    <w:p w14:paraId="782926D6" w14:textId="3B73B5D3" w:rsidR="00FB49FF" w:rsidRDefault="00FB49FF" w:rsidP="00FB49FF">
      <w:pPr>
        <w:spacing w:after="360" w:line="360" w:lineRule="exact"/>
      </w:pPr>
      <w:r w:rsidRPr="00FB49FF">
        <w:t>As they look toward retirement, Sarah and Maneet expect their daily routines to change. With more time spent at home, they anticipate driving less and spending less on lunches and other work-related expenses.</w:t>
      </w:r>
      <w:r>
        <w:t xml:space="preserve"> </w:t>
      </w:r>
      <w:r w:rsidRPr="00FB49FF">
        <w:t>These lifestyle adjustments will help reduce their overall monthly living expenses.</w:t>
      </w:r>
    </w:p>
    <w:p w14:paraId="07AC712F" w14:textId="77777777" w:rsidR="00FB49FF" w:rsidRDefault="00FB49FF" w:rsidP="00FB49FF">
      <w:pPr>
        <w:spacing w:after="360" w:line="360" w:lineRule="exact"/>
      </w:pPr>
    </w:p>
    <w:p w14:paraId="04763059" w14:textId="77777777" w:rsidR="00FB49FF" w:rsidRDefault="00FB49FF" w:rsidP="00FB49FF">
      <w:pPr>
        <w:spacing w:after="360" w:line="360" w:lineRule="exact"/>
      </w:pPr>
    </w:p>
    <w:p w14:paraId="617DDF87" w14:textId="77777777" w:rsidR="00FB49FF" w:rsidRPr="00FB49FF" w:rsidRDefault="00FB49FF" w:rsidP="00FB49FF">
      <w:pPr>
        <w:spacing w:after="360" w:line="360" w:lineRule="exact"/>
      </w:pPr>
    </w:p>
    <w:p w14:paraId="5DC3D202" w14:textId="77777777" w:rsidR="00FB49FF" w:rsidRPr="00FB49FF" w:rsidRDefault="00FB49FF" w:rsidP="00FB49FF">
      <w:pPr>
        <w:spacing w:after="360" w:line="360" w:lineRule="exact"/>
      </w:pPr>
      <w:r w:rsidRPr="00FB49FF">
        <w:lastRenderedPageBreak/>
        <w:t>Here’s how they approached their retirement planning and the outcome </w:t>
      </w:r>
    </w:p>
    <w:tbl>
      <w:tblPr>
        <w:tblW w:w="935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1"/>
        <w:gridCol w:w="8"/>
        <w:gridCol w:w="2753"/>
        <w:gridCol w:w="8"/>
        <w:gridCol w:w="2360"/>
        <w:gridCol w:w="8"/>
        <w:gridCol w:w="3116"/>
        <w:gridCol w:w="8"/>
      </w:tblGrid>
      <w:tr w:rsidR="00FB49FF" w:rsidRPr="00FB49FF" w14:paraId="05F52D0F" w14:textId="77777777" w:rsidTr="00FB49FF">
        <w:trPr>
          <w:trHeight w:val="1120"/>
        </w:trPr>
        <w:tc>
          <w:tcPr>
            <w:tcW w:w="1099"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3C5C70B7" w14:textId="77777777" w:rsidR="00FB49FF" w:rsidRPr="00FB49FF" w:rsidRDefault="00FB49FF" w:rsidP="00FB49FF">
            <w:pPr>
              <w:spacing w:after="360" w:line="360" w:lineRule="exact"/>
            </w:pPr>
            <w:r w:rsidRPr="00FB49FF">
              <w:t> </w:t>
            </w:r>
          </w:p>
        </w:tc>
        <w:tc>
          <w:tcPr>
            <w:tcW w:w="2761"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415CFC17" w14:textId="2F92767F" w:rsidR="00FB49FF" w:rsidRPr="00FB49FF" w:rsidRDefault="00FB49FF" w:rsidP="00FB49FF">
            <w:pPr>
              <w:spacing w:after="360" w:line="360" w:lineRule="exact"/>
            </w:pPr>
            <w:r w:rsidRPr="00FB49FF">
              <w:rPr>
                <w:b/>
                <w:bCs/>
              </w:rPr>
              <w:t>Seeking financial guidance early</w:t>
            </w:r>
            <w:r w:rsidRPr="00FB49FF">
              <w:t> </w:t>
            </w:r>
          </w:p>
        </w:tc>
        <w:tc>
          <w:tcPr>
            <w:tcW w:w="2368"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273FCF81" w14:textId="77777777" w:rsidR="00FB49FF" w:rsidRPr="00FB49FF" w:rsidRDefault="00FB49FF" w:rsidP="00FB49FF">
            <w:pPr>
              <w:spacing w:after="360" w:line="360" w:lineRule="exact"/>
            </w:pPr>
            <w:r w:rsidRPr="00FB49FF">
              <w:rPr>
                <w:b/>
                <w:bCs/>
              </w:rPr>
              <w:t>Understanding the pillars of retirement</w:t>
            </w:r>
            <w:r w:rsidRPr="00FB49FF">
              <w:t> </w:t>
            </w:r>
          </w:p>
          <w:p w14:paraId="560856D6" w14:textId="77777777" w:rsidR="00FB49FF" w:rsidRPr="00FB49FF" w:rsidRDefault="00FB49FF" w:rsidP="00FB49FF">
            <w:pPr>
              <w:spacing w:after="360" w:line="360" w:lineRule="exact"/>
            </w:pPr>
            <w:r w:rsidRPr="00FB49FF">
              <w:t> </w:t>
            </w:r>
          </w:p>
        </w:tc>
        <w:tc>
          <w:tcPr>
            <w:tcW w:w="3124"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18F83AD1" w14:textId="77777777" w:rsidR="00FB49FF" w:rsidRPr="00FB49FF" w:rsidRDefault="00FB49FF" w:rsidP="00FB49FF">
            <w:pPr>
              <w:spacing w:after="360" w:line="360" w:lineRule="exact"/>
            </w:pPr>
            <w:r w:rsidRPr="00FB49FF">
              <w:rPr>
                <w:b/>
                <w:bCs/>
              </w:rPr>
              <w:t>Maximizing retirement accounts</w:t>
            </w:r>
            <w:r w:rsidRPr="00FB49FF">
              <w:t> </w:t>
            </w:r>
          </w:p>
        </w:tc>
      </w:tr>
      <w:tr w:rsidR="00FB49FF" w:rsidRPr="00FB49FF" w14:paraId="6BC268D5" w14:textId="77777777" w:rsidTr="00FB49FF">
        <w:trPr>
          <w:gridAfter w:val="1"/>
          <w:wAfter w:w="8" w:type="dxa"/>
          <w:trHeight w:val="4183"/>
        </w:trPr>
        <w:tc>
          <w:tcPr>
            <w:tcW w:w="1091" w:type="dxa"/>
            <w:tcBorders>
              <w:top w:val="single" w:sz="6" w:space="0" w:color="auto"/>
              <w:left w:val="single" w:sz="6" w:space="0" w:color="auto"/>
              <w:bottom w:val="single" w:sz="6" w:space="0" w:color="auto"/>
              <w:right w:val="single" w:sz="6" w:space="0" w:color="auto"/>
            </w:tcBorders>
            <w:hideMark/>
          </w:tcPr>
          <w:p w14:paraId="29CE56B7" w14:textId="16DCC785" w:rsidR="00FB49FF" w:rsidRPr="00FB49FF" w:rsidRDefault="00FB49FF" w:rsidP="00FB49FF">
            <w:pPr>
              <w:spacing w:after="360" w:line="360" w:lineRule="exact"/>
            </w:pPr>
            <w:r w:rsidRPr="00FB49FF">
              <w:t>Maneet</w:t>
            </w:r>
          </w:p>
        </w:tc>
        <w:tc>
          <w:tcPr>
            <w:tcW w:w="2761" w:type="dxa"/>
            <w:gridSpan w:val="2"/>
            <w:tcBorders>
              <w:top w:val="single" w:sz="6" w:space="0" w:color="auto"/>
              <w:left w:val="single" w:sz="6" w:space="0" w:color="auto"/>
              <w:bottom w:val="single" w:sz="6" w:space="0" w:color="auto"/>
              <w:right w:val="single" w:sz="6" w:space="0" w:color="auto"/>
            </w:tcBorders>
            <w:hideMark/>
          </w:tcPr>
          <w:p w14:paraId="6BE18225" w14:textId="4F140E55" w:rsidR="00FB49FF" w:rsidRPr="00FB49FF" w:rsidRDefault="00FB49FF" w:rsidP="00FB49FF">
            <w:pPr>
              <w:spacing w:after="360" w:line="360" w:lineRule="exact"/>
            </w:pPr>
            <w:r w:rsidRPr="00FB49FF">
              <w:t>Early in his career, he consulted a financial advisor to understand key retirement saving strategies. This proactive step helped him make informed decisions and build a strong foundation for retirement.</w:t>
            </w:r>
          </w:p>
        </w:tc>
        <w:tc>
          <w:tcPr>
            <w:tcW w:w="2368" w:type="dxa"/>
            <w:gridSpan w:val="2"/>
            <w:tcBorders>
              <w:top w:val="single" w:sz="6" w:space="0" w:color="auto"/>
              <w:left w:val="single" w:sz="6" w:space="0" w:color="auto"/>
              <w:bottom w:val="single" w:sz="6" w:space="0" w:color="auto"/>
              <w:right w:val="single" w:sz="6" w:space="0" w:color="auto"/>
            </w:tcBorders>
            <w:hideMark/>
          </w:tcPr>
          <w:p w14:paraId="454AB336" w14:textId="77777777" w:rsidR="00FB49FF" w:rsidRPr="00FB49FF" w:rsidRDefault="00FB49FF" w:rsidP="00FB49FF">
            <w:pPr>
              <w:spacing w:after="360" w:line="360" w:lineRule="exact"/>
            </w:pPr>
            <w:r w:rsidRPr="00FB49FF">
              <w:t>He applied the three pillars from the start of his career, ensuring a diversified approach. </w:t>
            </w:r>
          </w:p>
          <w:p w14:paraId="5DC9FC80" w14:textId="77777777" w:rsidR="00FB49FF" w:rsidRPr="00FB49FF" w:rsidRDefault="00FB49FF" w:rsidP="00FB49FF">
            <w:pPr>
              <w:spacing w:after="360" w:line="360" w:lineRule="exact"/>
            </w:pPr>
            <w:r w:rsidRPr="00FB49FF">
              <w:t> </w:t>
            </w:r>
          </w:p>
        </w:tc>
        <w:tc>
          <w:tcPr>
            <w:tcW w:w="3124" w:type="dxa"/>
            <w:gridSpan w:val="2"/>
            <w:tcBorders>
              <w:top w:val="single" w:sz="6" w:space="0" w:color="auto"/>
              <w:left w:val="single" w:sz="6" w:space="0" w:color="auto"/>
              <w:bottom w:val="single" w:sz="6" w:space="0" w:color="auto"/>
              <w:right w:val="single" w:sz="6" w:space="0" w:color="auto"/>
            </w:tcBorders>
            <w:hideMark/>
          </w:tcPr>
          <w:p w14:paraId="28E8AB32" w14:textId="77777777" w:rsidR="00FB49FF" w:rsidRPr="00FB49FF" w:rsidRDefault="00FB49FF" w:rsidP="00FB49FF">
            <w:pPr>
              <w:spacing w:after="360" w:line="360" w:lineRule="exact"/>
            </w:pPr>
            <w:r w:rsidRPr="00FB49FF">
              <w:t>In addition to contributing regularly to his company defined contribution pension plan, he also invested in an RRSP, allowing his savings to grow tax-free and creating an additional layer of financial security for the future.  </w:t>
            </w:r>
          </w:p>
          <w:p w14:paraId="00FC57D6" w14:textId="77777777" w:rsidR="00FB49FF" w:rsidRPr="00FB49FF" w:rsidRDefault="00FB49FF" w:rsidP="00FB49FF">
            <w:pPr>
              <w:spacing w:after="360" w:line="360" w:lineRule="exact"/>
            </w:pPr>
            <w:r w:rsidRPr="00FB49FF">
              <w:t> </w:t>
            </w:r>
          </w:p>
        </w:tc>
      </w:tr>
      <w:tr w:rsidR="00FB49FF" w:rsidRPr="00FB49FF" w14:paraId="022CC686" w14:textId="77777777" w:rsidTr="00FB49FF">
        <w:trPr>
          <w:gridAfter w:val="1"/>
          <w:wAfter w:w="8" w:type="dxa"/>
          <w:trHeight w:val="300"/>
        </w:trPr>
        <w:tc>
          <w:tcPr>
            <w:tcW w:w="1091" w:type="dxa"/>
            <w:tcBorders>
              <w:top w:val="single" w:sz="6" w:space="0" w:color="auto"/>
              <w:left w:val="single" w:sz="6" w:space="0" w:color="auto"/>
              <w:bottom w:val="single" w:sz="6" w:space="0" w:color="auto"/>
              <w:right w:val="single" w:sz="6" w:space="0" w:color="auto"/>
            </w:tcBorders>
            <w:hideMark/>
          </w:tcPr>
          <w:p w14:paraId="1C3CA726" w14:textId="2EDEFCAE" w:rsidR="00FB49FF" w:rsidRPr="00FB49FF" w:rsidRDefault="00FB49FF" w:rsidP="00FB49FF">
            <w:pPr>
              <w:spacing w:after="360" w:line="360" w:lineRule="exact"/>
            </w:pPr>
            <w:r w:rsidRPr="00FB49FF">
              <w:t>Sarah</w:t>
            </w:r>
          </w:p>
        </w:tc>
        <w:tc>
          <w:tcPr>
            <w:tcW w:w="2761" w:type="dxa"/>
            <w:gridSpan w:val="2"/>
            <w:tcBorders>
              <w:top w:val="single" w:sz="6" w:space="0" w:color="auto"/>
              <w:left w:val="single" w:sz="6" w:space="0" w:color="auto"/>
              <w:bottom w:val="single" w:sz="6" w:space="0" w:color="auto"/>
              <w:right w:val="single" w:sz="6" w:space="0" w:color="auto"/>
            </w:tcBorders>
            <w:hideMark/>
          </w:tcPr>
          <w:p w14:paraId="5DE50DE2" w14:textId="77777777" w:rsidR="00FB49FF" w:rsidRPr="00FB49FF" w:rsidRDefault="00FB49FF" w:rsidP="00FB49FF">
            <w:pPr>
              <w:spacing w:after="360" w:line="360" w:lineRule="exact"/>
            </w:pPr>
            <w:r w:rsidRPr="00FB49FF">
              <w:t>She delayed learning about her defined contribution pension plan and postponed contributions, assuming she had plenty of time to start saving later. </w:t>
            </w:r>
          </w:p>
        </w:tc>
        <w:tc>
          <w:tcPr>
            <w:tcW w:w="2368" w:type="dxa"/>
            <w:gridSpan w:val="2"/>
            <w:tcBorders>
              <w:top w:val="single" w:sz="6" w:space="0" w:color="auto"/>
              <w:left w:val="single" w:sz="6" w:space="0" w:color="auto"/>
              <w:bottom w:val="single" w:sz="6" w:space="0" w:color="auto"/>
              <w:right w:val="single" w:sz="6" w:space="0" w:color="auto"/>
            </w:tcBorders>
            <w:hideMark/>
          </w:tcPr>
          <w:p w14:paraId="37526FF8" w14:textId="77777777" w:rsidR="00FB49FF" w:rsidRPr="00FB49FF" w:rsidRDefault="00FB49FF" w:rsidP="00FB49FF">
            <w:pPr>
              <w:spacing w:after="360" w:line="360" w:lineRule="exact"/>
            </w:pPr>
            <w:r w:rsidRPr="00FB49FF">
              <w:t>She began exploring these pillars later after realizing retirement was approaching faster than she expected. </w:t>
            </w:r>
          </w:p>
        </w:tc>
        <w:tc>
          <w:tcPr>
            <w:tcW w:w="3124" w:type="dxa"/>
            <w:gridSpan w:val="2"/>
            <w:tcBorders>
              <w:top w:val="single" w:sz="6" w:space="0" w:color="auto"/>
              <w:left w:val="single" w:sz="6" w:space="0" w:color="auto"/>
              <w:bottom w:val="single" w:sz="6" w:space="0" w:color="auto"/>
              <w:right w:val="single" w:sz="6" w:space="0" w:color="auto"/>
            </w:tcBorders>
            <w:hideMark/>
          </w:tcPr>
          <w:p w14:paraId="709E40E7" w14:textId="77777777" w:rsidR="00FB49FF" w:rsidRPr="00FB49FF" w:rsidRDefault="00FB49FF" w:rsidP="00FB49FF">
            <w:pPr>
              <w:spacing w:after="360" w:line="360" w:lineRule="exact"/>
            </w:pPr>
            <w:r w:rsidRPr="00FB49FF">
              <w:t>Sarah did not make additional contributions beyond her defined contribution pension plan, missing out on the tax advantages and extra growth an RRSP could have provided. </w:t>
            </w:r>
          </w:p>
        </w:tc>
      </w:tr>
    </w:tbl>
    <w:p w14:paraId="4E888AA8" w14:textId="77777777" w:rsidR="00FB49FF" w:rsidRPr="00FB49FF" w:rsidRDefault="00FB49FF" w:rsidP="00FB49FF">
      <w:pPr>
        <w:spacing w:after="360" w:line="360" w:lineRule="exact"/>
      </w:pPr>
      <w:r w:rsidRPr="00FB49FF">
        <w:t xml:space="preserve">Like many Canadians, Sarah underestimated how much she would need to retire comfortably. With limited savings and only five years until retirement, her investments </w:t>
      </w:r>
      <w:r w:rsidRPr="00FB49FF">
        <w:lastRenderedPageBreak/>
        <w:t>had little time to grow. As a result, she may need to rely more on government programs such as CPP and OAS, which alone are not enough to maintain her current lifestyle. Sarah may have to work beyond age 65 to meet her basic needs and achieve financial stability. </w:t>
      </w:r>
    </w:p>
    <w:p w14:paraId="531BE78D" w14:textId="6B7EF609" w:rsidR="00FB49FF" w:rsidRPr="00643AC2" w:rsidRDefault="00FB49FF" w:rsidP="00643AC2">
      <w:pPr>
        <w:spacing w:after="360" w:line="360" w:lineRule="exact"/>
      </w:pPr>
      <w:r w:rsidRPr="00FB49FF">
        <w:t>Maneet is on track to retire comfortably while maintaining his lifestyle. Years of consistent contributions to his DC pension plan and RRSP have allowed his savings to grow substantially. Alongside CPP and OAS benefits, these funds provide multiple income streams and financial security. Maneet can retire at 65 with confidence, knowing his careful planning has created lasting peace of mind and flexibility. </w:t>
      </w:r>
    </w:p>
    <w:p w14:paraId="0D4CC8F4" w14:textId="7D80290E" w:rsidR="007D77CA" w:rsidRPr="003F219B" w:rsidRDefault="007D77CA" w:rsidP="00D338D7">
      <w:pPr>
        <w:spacing w:after="360" w:line="360" w:lineRule="exact"/>
        <w:rPr>
          <w:lang w:val="en-US"/>
        </w:rPr>
      </w:pPr>
    </w:p>
    <w:sectPr w:rsidR="007D77CA" w:rsidRPr="003F219B">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D5071" w14:textId="77777777" w:rsidR="00C01B14" w:rsidRDefault="00C01B14" w:rsidP="003D7FC4">
      <w:r>
        <w:separator/>
      </w:r>
    </w:p>
  </w:endnote>
  <w:endnote w:type="continuationSeparator" w:id="0">
    <w:p w14:paraId="5920E256" w14:textId="77777777" w:rsidR="00C01B14" w:rsidRDefault="00C01B14" w:rsidP="003D7FC4">
      <w:r>
        <w:continuationSeparator/>
      </w:r>
    </w:p>
  </w:endnote>
  <w:endnote w:type="continuationNotice" w:id="1">
    <w:p w14:paraId="27E9125C" w14:textId="77777777" w:rsidR="00C01B14" w:rsidRDefault="00C01B14" w:rsidP="003D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D628" w14:textId="77777777" w:rsidR="00C01B14" w:rsidRDefault="00C01B14" w:rsidP="003D7FC4">
      <w:r>
        <w:separator/>
      </w:r>
    </w:p>
  </w:footnote>
  <w:footnote w:type="continuationSeparator" w:id="0">
    <w:p w14:paraId="5677F4BC" w14:textId="77777777" w:rsidR="00C01B14" w:rsidRDefault="00C01B14" w:rsidP="003D7FC4">
      <w:r>
        <w:continuationSeparator/>
      </w:r>
    </w:p>
  </w:footnote>
  <w:footnote w:type="continuationNotice" w:id="1">
    <w:p w14:paraId="10A2A1B5" w14:textId="77777777" w:rsidR="00C01B14" w:rsidRDefault="00C01B14" w:rsidP="003D7FC4"/>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3420"/>
    <w:multiLevelType w:val="hybridMultilevel"/>
    <w:tmpl w:val="CB6C8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DC040B"/>
    <w:multiLevelType w:val="multilevel"/>
    <w:tmpl w:val="768AED8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4746171"/>
    <w:multiLevelType w:val="multilevel"/>
    <w:tmpl w:val="1148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044771"/>
    <w:multiLevelType w:val="multilevel"/>
    <w:tmpl w:val="F598947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0494657"/>
    <w:multiLevelType w:val="multilevel"/>
    <w:tmpl w:val="90988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8568C"/>
    <w:multiLevelType w:val="multilevel"/>
    <w:tmpl w:val="1DF8F6D4"/>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5AD2464"/>
    <w:multiLevelType w:val="multilevel"/>
    <w:tmpl w:val="AEE07BF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99A2E4E"/>
    <w:multiLevelType w:val="multilevel"/>
    <w:tmpl w:val="50867A4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A5B26DC"/>
    <w:multiLevelType w:val="hybridMultilevel"/>
    <w:tmpl w:val="1B808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0486504"/>
    <w:multiLevelType w:val="hybridMultilevel"/>
    <w:tmpl w:val="0F7C6E0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C1B1703"/>
    <w:multiLevelType w:val="multilevel"/>
    <w:tmpl w:val="0FCC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F21C9B"/>
    <w:multiLevelType w:val="multilevel"/>
    <w:tmpl w:val="3D10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D70DC"/>
    <w:multiLevelType w:val="multilevel"/>
    <w:tmpl w:val="086C58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632207"/>
    <w:multiLevelType w:val="multilevel"/>
    <w:tmpl w:val="3F6C92A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9644614"/>
    <w:multiLevelType w:val="multilevel"/>
    <w:tmpl w:val="496631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06F432F"/>
    <w:multiLevelType w:val="multilevel"/>
    <w:tmpl w:val="40B6F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DB0EA2"/>
    <w:multiLevelType w:val="multilevel"/>
    <w:tmpl w:val="38CC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A1FBE"/>
    <w:multiLevelType w:val="multilevel"/>
    <w:tmpl w:val="E21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D47878"/>
    <w:multiLevelType w:val="multilevel"/>
    <w:tmpl w:val="E4E4A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BB22D2"/>
    <w:multiLevelType w:val="multilevel"/>
    <w:tmpl w:val="3B14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0563BA"/>
    <w:multiLevelType w:val="hybridMultilevel"/>
    <w:tmpl w:val="527012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4BD3B3E"/>
    <w:multiLevelType w:val="multilevel"/>
    <w:tmpl w:val="D3C8224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80972616">
    <w:abstractNumId w:val="9"/>
  </w:num>
  <w:num w:numId="2" w16cid:durableId="1211186309">
    <w:abstractNumId w:val="0"/>
  </w:num>
  <w:num w:numId="3" w16cid:durableId="1217160441">
    <w:abstractNumId w:val="20"/>
  </w:num>
  <w:num w:numId="4" w16cid:durableId="112481519">
    <w:abstractNumId w:val="18"/>
  </w:num>
  <w:num w:numId="5" w16cid:durableId="392125958">
    <w:abstractNumId w:val="4"/>
  </w:num>
  <w:num w:numId="6" w16cid:durableId="234973943">
    <w:abstractNumId w:val="12"/>
  </w:num>
  <w:num w:numId="7" w16cid:durableId="1060906093">
    <w:abstractNumId w:val="21"/>
  </w:num>
  <w:num w:numId="8" w16cid:durableId="1581871244">
    <w:abstractNumId w:val="7"/>
  </w:num>
  <w:num w:numId="9" w16cid:durableId="195776741">
    <w:abstractNumId w:val="1"/>
  </w:num>
  <w:num w:numId="10" w16cid:durableId="1722247536">
    <w:abstractNumId w:val="6"/>
  </w:num>
  <w:num w:numId="11" w16cid:durableId="41640680">
    <w:abstractNumId w:val="13"/>
  </w:num>
  <w:num w:numId="12" w16cid:durableId="57361837">
    <w:abstractNumId w:val="14"/>
  </w:num>
  <w:num w:numId="13" w16cid:durableId="651375791">
    <w:abstractNumId w:val="11"/>
  </w:num>
  <w:num w:numId="14" w16cid:durableId="1874072936">
    <w:abstractNumId w:val="15"/>
  </w:num>
  <w:num w:numId="15" w16cid:durableId="964583761">
    <w:abstractNumId w:val="17"/>
  </w:num>
  <w:num w:numId="16" w16cid:durableId="1763643768">
    <w:abstractNumId w:val="5"/>
  </w:num>
  <w:num w:numId="17" w16cid:durableId="1319068338">
    <w:abstractNumId w:val="19"/>
  </w:num>
  <w:num w:numId="18" w16cid:durableId="1594900420">
    <w:abstractNumId w:val="2"/>
  </w:num>
  <w:num w:numId="19" w16cid:durableId="697044426">
    <w:abstractNumId w:val="3"/>
  </w:num>
  <w:num w:numId="20" w16cid:durableId="1072704406">
    <w:abstractNumId w:val="10"/>
  </w:num>
  <w:num w:numId="21" w16cid:durableId="430856268">
    <w:abstractNumId w:val="16"/>
  </w:num>
  <w:num w:numId="22" w16cid:durableId="11385732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9B"/>
    <w:rsid w:val="00000640"/>
    <w:rsid w:val="00007071"/>
    <w:rsid w:val="00007A1C"/>
    <w:rsid w:val="00013E1A"/>
    <w:rsid w:val="00035D68"/>
    <w:rsid w:val="000452A1"/>
    <w:rsid w:val="00056C06"/>
    <w:rsid w:val="00057BFC"/>
    <w:rsid w:val="000628EC"/>
    <w:rsid w:val="00065314"/>
    <w:rsid w:val="000825D9"/>
    <w:rsid w:val="00093244"/>
    <w:rsid w:val="000A1543"/>
    <w:rsid w:val="000A313A"/>
    <w:rsid w:val="000D3274"/>
    <w:rsid w:val="000E474F"/>
    <w:rsid w:val="000F1128"/>
    <w:rsid w:val="00116AC0"/>
    <w:rsid w:val="00127509"/>
    <w:rsid w:val="00160C9F"/>
    <w:rsid w:val="00175F3A"/>
    <w:rsid w:val="00187768"/>
    <w:rsid w:val="001C7E0C"/>
    <w:rsid w:val="001E0D0E"/>
    <w:rsid w:val="001E5EE8"/>
    <w:rsid w:val="0022227D"/>
    <w:rsid w:val="00222DA9"/>
    <w:rsid w:val="00223DDF"/>
    <w:rsid w:val="00237268"/>
    <w:rsid w:val="0024566D"/>
    <w:rsid w:val="0027563C"/>
    <w:rsid w:val="00281BCC"/>
    <w:rsid w:val="0028738C"/>
    <w:rsid w:val="002A7F30"/>
    <w:rsid w:val="002B0BF2"/>
    <w:rsid w:val="002E5594"/>
    <w:rsid w:val="002E5723"/>
    <w:rsid w:val="0033507D"/>
    <w:rsid w:val="00340A89"/>
    <w:rsid w:val="003419A0"/>
    <w:rsid w:val="003430EB"/>
    <w:rsid w:val="003648B4"/>
    <w:rsid w:val="00366FA6"/>
    <w:rsid w:val="00366FDD"/>
    <w:rsid w:val="0038061D"/>
    <w:rsid w:val="003815A0"/>
    <w:rsid w:val="00382540"/>
    <w:rsid w:val="00384310"/>
    <w:rsid w:val="0038755C"/>
    <w:rsid w:val="003B0B71"/>
    <w:rsid w:val="003C7E4D"/>
    <w:rsid w:val="003D7FC4"/>
    <w:rsid w:val="003E3ED9"/>
    <w:rsid w:val="003E4449"/>
    <w:rsid w:val="003F219B"/>
    <w:rsid w:val="003F2671"/>
    <w:rsid w:val="003F3469"/>
    <w:rsid w:val="00412A74"/>
    <w:rsid w:val="00413802"/>
    <w:rsid w:val="0041450C"/>
    <w:rsid w:val="004731CD"/>
    <w:rsid w:val="004A4797"/>
    <w:rsid w:val="004B0604"/>
    <w:rsid w:val="004C0444"/>
    <w:rsid w:val="004D1CDC"/>
    <w:rsid w:val="004D34C8"/>
    <w:rsid w:val="004E03BD"/>
    <w:rsid w:val="00504322"/>
    <w:rsid w:val="00516493"/>
    <w:rsid w:val="005172D0"/>
    <w:rsid w:val="00523726"/>
    <w:rsid w:val="00526E5D"/>
    <w:rsid w:val="0053323F"/>
    <w:rsid w:val="0053573D"/>
    <w:rsid w:val="00535DE8"/>
    <w:rsid w:val="00541C69"/>
    <w:rsid w:val="005531A7"/>
    <w:rsid w:val="00556ADA"/>
    <w:rsid w:val="00572DE5"/>
    <w:rsid w:val="00576A45"/>
    <w:rsid w:val="005932AF"/>
    <w:rsid w:val="00594560"/>
    <w:rsid w:val="005A37EF"/>
    <w:rsid w:val="005A4F69"/>
    <w:rsid w:val="005C58F0"/>
    <w:rsid w:val="005D49C0"/>
    <w:rsid w:val="005D7A4C"/>
    <w:rsid w:val="005E1CDC"/>
    <w:rsid w:val="005E2BD0"/>
    <w:rsid w:val="005E6411"/>
    <w:rsid w:val="005F4799"/>
    <w:rsid w:val="005F5897"/>
    <w:rsid w:val="0062202E"/>
    <w:rsid w:val="00624AE1"/>
    <w:rsid w:val="00631BB9"/>
    <w:rsid w:val="00637E6E"/>
    <w:rsid w:val="00640AB3"/>
    <w:rsid w:val="006435B9"/>
    <w:rsid w:val="00643AC2"/>
    <w:rsid w:val="00660621"/>
    <w:rsid w:val="00692344"/>
    <w:rsid w:val="00694FAC"/>
    <w:rsid w:val="006A5BF5"/>
    <w:rsid w:val="006C2A95"/>
    <w:rsid w:val="006D2009"/>
    <w:rsid w:val="006F19EF"/>
    <w:rsid w:val="007018D7"/>
    <w:rsid w:val="007146FC"/>
    <w:rsid w:val="00717C85"/>
    <w:rsid w:val="00740855"/>
    <w:rsid w:val="00740E7A"/>
    <w:rsid w:val="007415B7"/>
    <w:rsid w:val="00741BDE"/>
    <w:rsid w:val="00743CCB"/>
    <w:rsid w:val="00756E91"/>
    <w:rsid w:val="00760FA8"/>
    <w:rsid w:val="007630EC"/>
    <w:rsid w:val="00764484"/>
    <w:rsid w:val="00773487"/>
    <w:rsid w:val="00784C93"/>
    <w:rsid w:val="00790322"/>
    <w:rsid w:val="007B4843"/>
    <w:rsid w:val="007B6E16"/>
    <w:rsid w:val="007D27DB"/>
    <w:rsid w:val="007D77CA"/>
    <w:rsid w:val="007E1099"/>
    <w:rsid w:val="007F4744"/>
    <w:rsid w:val="007F5C85"/>
    <w:rsid w:val="007F5D4D"/>
    <w:rsid w:val="00800FF2"/>
    <w:rsid w:val="00870CA7"/>
    <w:rsid w:val="00891915"/>
    <w:rsid w:val="008A15C3"/>
    <w:rsid w:val="008B7755"/>
    <w:rsid w:val="008C17E1"/>
    <w:rsid w:val="008C6E94"/>
    <w:rsid w:val="008D2087"/>
    <w:rsid w:val="008E2170"/>
    <w:rsid w:val="008E41CF"/>
    <w:rsid w:val="008E4E66"/>
    <w:rsid w:val="008F5FD5"/>
    <w:rsid w:val="009314F0"/>
    <w:rsid w:val="00936C0B"/>
    <w:rsid w:val="00950BBB"/>
    <w:rsid w:val="00965685"/>
    <w:rsid w:val="00970204"/>
    <w:rsid w:val="009860E8"/>
    <w:rsid w:val="00990921"/>
    <w:rsid w:val="009A0C7D"/>
    <w:rsid w:val="009B12BC"/>
    <w:rsid w:val="009B6262"/>
    <w:rsid w:val="00A00EFB"/>
    <w:rsid w:val="00A118FF"/>
    <w:rsid w:val="00A152A3"/>
    <w:rsid w:val="00A23B47"/>
    <w:rsid w:val="00A46CD3"/>
    <w:rsid w:val="00A55714"/>
    <w:rsid w:val="00A66AFE"/>
    <w:rsid w:val="00A83463"/>
    <w:rsid w:val="00A95EB8"/>
    <w:rsid w:val="00A9F3DB"/>
    <w:rsid w:val="00AA1BFD"/>
    <w:rsid w:val="00AA5AE9"/>
    <w:rsid w:val="00AA787B"/>
    <w:rsid w:val="00AC7993"/>
    <w:rsid w:val="00AD0F64"/>
    <w:rsid w:val="00AF0B4F"/>
    <w:rsid w:val="00AF70DA"/>
    <w:rsid w:val="00B02BEE"/>
    <w:rsid w:val="00B30852"/>
    <w:rsid w:val="00B572C1"/>
    <w:rsid w:val="00B63F8B"/>
    <w:rsid w:val="00B80270"/>
    <w:rsid w:val="00B94237"/>
    <w:rsid w:val="00BA3418"/>
    <w:rsid w:val="00BA4033"/>
    <w:rsid w:val="00BD1774"/>
    <w:rsid w:val="00BE1627"/>
    <w:rsid w:val="00BE3386"/>
    <w:rsid w:val="00BF1215"/>
    <w:rsid w:val="00BF328D"/>
    <w:rsid w:val="00BF4DCB"/>
    <w:rsid w:val="00C00551"/>
    <w:rsid w:val="00C01B14"/>
    <w:rsid w:val="00C05BD5"/>
    <w:rsid w:val="00C100EA"/>
    <w:rsid w:val="00C14806"/>
    <w:rsid w:val="00C15F78"/>
    <w:rsid w:val="00C25272"/>
    <w:rsid w:val="00C5EE44"/>
    <w:rsid w:val="00C62D1A"/>
    <w:rsid w:val="00C652E1"/>
    <w:rsid w:val="00C7030F"/>
    <w:rsid w:val="00C73F3E"/>
    <w:rsid w:val="00C77C7B"/>
    <w:rsid w:val="00C806A3"/>
    <w:rsid w:val="00CA00BD"/>
    <w:rsid w:val="00CB40A8"/>
    <w:rsid w:val="00CB59FC"/>
    <w:rsid w:val="00CB71D6"/>
    <w:rsid w:val="00CC5533"/>
    <w:rsid w:val="00CC7B34"/>
    <w:rsid w:val="00CE4229"/>
    <w:rsid w:val="00CF0A12"/>
    <w:rsid w:val="00D338D7"/>
    <w:rsid w:val="00D47C5B"/>
    <w:rsid w:val="00D64230"/>
    <w:rsid w:val="00D648D6"/>
    <w:rsid w:val="00D64C89"/>
    <w:rsid w:val="00D86D7B"/>
    <w:rsid w:val="00DA49FA"/>
    <w:rsid w:val="00DB04B5"/>
    <w:rsid w:val="00DB3DC1"/>
    <w:rsid w:val="00DD7C64"/>
    <w:rsid w:val="00DE4529"/>
    <w:rsid w:val="00DF5E2E"/>
    <w:rsid w:val="00DF5E41"/>
    <w:rsid w:val="00E201CD"/>
    <w:rsid w:val="00E203D0"/>
    <w:rsid w:val="00E24CDF"/>
    <w:rsid w:val="00E349D2"/>
    <w:rsid w:val="00E431A7"/>
    <w:rsid w:val="00E44B43"/>
    <w:rsid w:val="00E554DB"/>
    <w:rsid w:val="00E60381"/>
    <w:rsid w:val="00E618C4"/>
    <w:rsid w:val="00E623B6"/>
    <w:rsid w:val="00E751E6"/>
    <w:rsid w:val="00E86D80"/>
    <w:rsid w:val="00E941BD"/>
    <w:rsid w:val="00E97F60"/>
    <w:rsid w:val="00EA64D6"/>
    <w:rsid w:val="00EB1290"/>
    <w:rsid w:val="00EC043D"/>
    <w:rsid w:val="00ED25D2"/>
    <w:rsid w:val="00ED2EDD"/>
    <w:rsid w:val="00ED5F27"/>
    <w:rsid w:val="00ED68AC"/>
    <w:rsid w:val="00EE74C6"/>
    <w:rsid w:val="00EF4A05"/>
    <w:rsid w:val="00F1178F"/>
    <w:rsid w:val="00F53C61"/>
    <w:rsid w:val="00F667E8"/>
    <w:rsid w:val="00F8555C"/>
    <w:rsid w:val="00F9311F"/>
    <w:rsid w:val="00F96063"/>
    <w:rsid w:val="00F9692F"/>
    <w:rsid w:val="00FA1D3A"/>
    <w:rsid w:val="00FB49FF"/>
    <w:rsid w:val="00FC7C83"/>
    <w:rsid w:val="00FD1200"/>
    <w:rsid w:val="00FE1E04"/>
    <w:rsid w:val="00FE4F13"/>
    <w:rsid w:val="00FF4324"/>
    <w:rsid w:val="0111DD71"/>
    <w:rsid w:val="020E19D5"/>
    <w:rsid w:val="034558E6"/>
    <w:rsid w:val="042DBE81"/>
    <w:rsid w:val="046A41E9"/>
    <w:rsid w:val="05C9BFBE"/>
    <w:rsid w:val="05E03CD7"/>
    <w:rsid w:val="06D3C191"/>
    <w:rsid w:val="07683163"/>
    <w:rsid w:val="0770D4AD"/>
    <w:rsid w:val="07C67365"/>
    <w:rsid w:val="08717E13"/>
    <w:rsid w:val="08ECDDBA"/>
    <w:rsid w:val="0910ABC8"/>
    <w:rsid w:val="0B18EA75"/>
    <w:rsid w:val="0B654BE6"/>
    <w:rsid w:val="0C282CCE"/>
    <w:rsid w:val="0D461768"/>
    <w:rsid w:val="0F78D57A"/>
    <w:rsid w:val="1017BC95"/>
    <w:rsid w:val="1049D163"/>
    <w:rsid w:val="108DAA48"/>
    <w:rsid w:val="1107888F"/>
    <w:rsid w:val="115C1984"/>
    <w:rsid w:val="118E7AAD"/>
    <w:rsid w:val="12F84698"/>
    <w:rsid w:val="13882B63"/>
    <w:rsid w:val="14263960"/>
    <w:rsid w:val="14379A28"/>
    <w:rsid w:val="1692F5DD"/>
    <w:rsid w:val="195E32F8"/>
    <w:rsid w:val="1B36F87E"/>
    <w:rsid w:val="1B4DA523"/>
    <w:rsid w:val="1D294516"/>
    <w:rsid w:val="1E4F712D"/>
    <w:rsid w:val="1F757F88"/>
    <w:rsid w:val="202DD77D"/>
    <w:rsid w:val="21567952"/>
    <w:rsid w:val="2314AD89"/>
    <w:rsid w:val="2412D58A"/>
    <w:rsid w:val="24E334D9"/>
    <w:rsid w:val="2524FE38"/>
    <w:rsid w:val="265341FC"/>
    <w:rsid w:val="2779C70F"/>
    <w:rsid w:val="27F24937"/>
    <w:rsid w:val="286E2F4B"/>
    <w:rsid w:val="28A0AF92"/>
    <w:rsid w:val="28A4F28A"/>
    <w:rsid w:val="28A73032"/>
    <w:rsid w:val="2958D2FF"/>
    <w:rsid w:val="2BB01FAF"/>
    <w:rsid w:val="2C2A0EA5"/>
    <w:rsid w:val="309F074E"/>
    <w:rsid w:val="33DBA3A0"/>
    <w:rsid w:val="36D55A57"/>
    <w:rsid w:val="37ABD025"/>
    <w:rsid w:val="37E47850"/>
    <w:rsid w:val="3882EA71"/>
    <w:rsid w:val="390B950A"/>
    <w:rsid w:val="39B8D3AF"/>
    <w:rsid w:val="3A18B2F3"/>
    <w:rsid w:val="3C90107E"/>
    <w:rsid w:val="3DB3D1DD"/>
    <w:rsid w:val="3DF72FD6"/>
    <w:rsid w:val="40A27B0B"/>
    <w:rsid w:val="421AFFB0"/>
    <w:rsid w:val="436A6F94"/>
    <w:rsid w:val="437263EF"/>
    <w:rsid w:val="46274F39"/>
    <w:rsid w:val="488B1697"/>
    <w:rsid w:val="4BFA42C1"/>
    <w:rsid w:val="4C288B5C"/>
    <w:rsid w:val="4DF9B5C1"/>
    <w:rsid w:val="4E4B20A9"/>
    <w:rsid w:val="4E953C6D"/>
    <w:rsid w:val="4FFA6B40"/>
    <w:rsid w:val="4FFAA7B1"/>
    <w:rsid w:val="516FD0AA"/>
    <w:rsid w:val="51ED2875"/>
    <w:rsid w:val="547E76CA"/>
    <w:rsid w:val="55458BB7"/>
    <w:rsid w:val="555B38C3"/>
    <w:rsid w:val="5567FCDF"/>
    <w:rsid w:val="563C2F63"/>
    <w:rsid w:val="568E7BBC"/>
    <w:rsid w:val="58644F28"/>
    <w:rsid w:val="592B5319"/>
    <w:rsid w:val="59978B15"/>
    <w:rsid w:val="5A5EB546"/>
    <w:rsid w:val="5C49A257"/>
    <w:rsid w:val="5D8FBF1F"/>
    <w:rsid w:val="606E0A64"/>
    <w:rsid w:val="620F57E1"/>
    <w:rsid w:val="642BE043"/>
    <w:rsid w:val="6592D450"/>
    <w:rsid w:val="675EC5DE"/>
    <w:rsid w:val="68204C5A"/>
    <w:rsid w:val="684F1016"/>
    <w:rsid w:val="694187A4"/>
    <w:rsid w:val="6D17AADD"/>
    <w:rsid w:val="6E84C2C5"/>
    <w:rsid w:val="6EB9939A"/>
    <w:rsid w:val="71741DC7"/>
    <w:rsid w:val="717D7BDA"/>
    <w:rsid w:val="71D2895C"/>
    <w:rsid w:val="71E02F16"/>
    <w:rsid w:val="72D0E987"/>
    <w:rsid w:val="73188FC7"/>
    <w:rsid w:val="744C24DE"/>
    <w:rsid w:val="74DD91B0"/>
    <w:rsid w:val="7774962A"/>
    <w:rsid w:val="77B80FFF"/>
    <w:rsid w:val="79C31C08"/>
    <w:rsid w:val="7A2146C5"/>
    <w:rsid w:val="7B1C972E"/>
    <w:rsid w:val="7D0E2E19"/>
    <w:rsid w:val="7DD539DC"/>
    <w:rsid w:val="7FF7EF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DA666"/>
  <w15:chartTrackingRefBased/>
  <w15:docId w15:val="{F1D423FC-A598-41A8-80DA-4FD998E9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FC4"/>
    <w:pPr>
      <w:spacing w:before="360" w:after="0" w:line="240" w:lineRule="auto"/>
    </w:pPr>
    <w:rPr>
      <w:rFonts w:ascii="Arial" w:hAnsi="Arial" w:cs="Arial"/>
      <w:color w:val="000000" w:themeColor="text1"/>
      <w:sz w:val="24"/>
      <w:szCs w:val="24"/>
    </w:rPr>
  </w:style>
  <w:style w:type="paragraph" w:styleId="Heading1">
    <w:name w:val="heading 1"/>
    <w:basedOn w:val="Normal"/>
    <w:next w:val="Normal"/>
    <w:link w:val="Heading1Char"/>
    <w:uiPriority w:val="9"/>
    <w:qFormat/>
    <w:rsid w:val="00D338D7"/>
    <w:pPr>
      <w:keepNext/>
      <w:keepLines/>
      <w:spacing w:after="360" w:line="360" w:lineRule="exact"/>
      <w:outlineLvl w:val="0"/>
    </w:pPr>
    <w:rPr>
      <w:rFonts w:eastAsiaTheme="majorEastAsia"/>
      <w:b/>
      <w:bCs/>
      <w:sz w:val="36"/>
      <w:szCs w:val="36"/>
    </w:rPr>
  </w:style>
  <w:style w:type="paragraph" w:styleId="Heading2">
    <w:name w:val="heading 2"/>
    <w:next w:val="Normal"/>
    <w:link w:val="Heading2Char"/>
    <w:uiPriority w:val="9"/>
    <w:unhideWhenUsed/>
    <w:qFormat/>
    <w:rsid w:val="00D338D7"/>
    <w:pPr>
      <w:outlineLvl w:val="1"/>
    </w:pPr>
    <w:rPr>
      <w:rFonts w:ascii="Arial" w:eastAsiaTheme="majorEastAsia" w:hAnsi="Arial" w:cs="Arial"/>
      <w:b/>
      <w:bCs/>
      <w:color w:val="000000" w:themeColor="text1"/>
      <w:sz w:val="28"/>
      <w:szCs w:val="28"/>
    </w:rPr>
  </w:style>
  <w:style w:type="paragraph" w:styleId="Heading3">
    <w:name w:val="heading 3"/>
    <w:basedOn w:val="Normal"/>
    <w:next w:val="Normal"/>
    <w:link w:val="Heading3Char"/>
    <w:uiPriority w:val="9"/>
    <w:semiHidden/>
    <w:unhideWhenUsed/>
    <w:qFormat/>
    <w:rsid w:val="003F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1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1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1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1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8D7"/>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D338D7"/>
    <w:rPr>
      <w:rFonts w:ascii="Arial" w:eastAsiaTheme="majorEastAsia" w:hAnsi="Arial" w:cs="Arial"/>
      <w:b/>
      <w:bCs/>
      <w:color w:val="000000" w:themeColor="text1"/>
      <w:sz w:val="28"/>
      <w:szCs w:val="28"/>
    </w:rPr>
  </w:style>
  <w:style w:type="character" w:customStyle="1" w:styleId="Heading3Char">
    <w:name w:val="Heading 3 Char"/>
    <w:basedOn w:val="DefaultParagraphFont"/>
    <w:link w:val="Heading3"/>
    <w:uiPriority w:val="9"/>
    <w:semiHidden/>
    <w:rsid w:val="003F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19B"/>
    <w:rPr>
      <w:rFonts w:eastAsiaTheme="majorEastAsia" w:cstheme="majorBidi"/>
      <w:color w:val="272727" w:themeColor="text1" w:themeTint="D8"/>
    </w:rPr>
  </w:style>
  <w:style w:type="paragraph" w:styleId="Title">
    <w:name w:val="Title"/>
    <w:basedOn w:val="Normal"/>
    <w:next w:val="Normal"/>
    <w:link w:val="TitleChar"/>
    <w:uiPriority w:val="10"/>
    <w:qFormat/>
    <w:rsid w:val="003F21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19B"/>
    <w:pPr>
      <w:spacing w:before="160"/>
      <w:jc w:val="center"/>
    </w:pPr>
    <w:rPr>
      <w:i/>
      <w:iCs/>
      <w:color w:val="404040" w:themeColor="text1" w:themeTint="BF"/>
    </w:rPr>
  </w:style>
  <w:style w:type="character" w:customStyle="1" w:styleId="QuoteChar">
    <w:name w:val="Quote Char"/>
    <w:basedOn w:val="DefaultParagraphFont"/>
    <w:link w:val="Quote"/>
    <w:uiPriority w:val="29"/>
    <w:rsid w:val="003F219B"/>
    <w:rPr>
      <w:i/>
      <w:iCs/>
      <w:color w:val="404040" w:themeColor="text1" w:themeTint="BF"/>
    </w:rPr>
  </w:style>
  <w:style w:type="paragraph" w:styleId="ListParagraph">
    <w:name w:val="List Paragraph"/>
    <w:basedOn w:val="Normal"/>
    <w:uiPriority w:val="34"/>
    <w:qFormat/>
    <w:rsid w:val="003F219B"/>
    <w:pPr>
      <w:ind w:left="720"/>
      <w:contextualSpacing/>
    </w:pPr>
  </w:style>
  <w:style w:type="character" w:styleId="IntenseEmphasis">
    <w:name w:val="Intense Emphasis"/>
    <w:basedOn w:val="DefaultParagraphFont"/>
    <w:uiPriority w:val="21"/>
    <w:qFormat/>
    <w:rsid w:val="003F219B"/>
    <w:rPr>
      <w:i/>
      <w:iCs/>
      <w:color w:val="0F4761" w:themeColor="accent1" w:themeShade="BF"/>
    </w:rPr>
  </w:style>
  <w:style w:type="paragraph" w:styleId="IntenseQuote">
    <w:name w:val="Intense Quote"/>
    <w:basedOn w:val="Normal"/>
    <w:next w:val="Normal"/>
    <w:link w:val="IntenseQuoteChar"/>
    <w:uiPriority w:val="30"/>
    <w:qFormat/>
    <w:rsid w:val="003F219B"/>
    <w:pPr>
      <w:pBdr>
        <w:top w:val="single" w:sz="4" w:space="10" w:color="0F4761" w:themeColor="accent1" w:themeShade="BF"/>
        <w:bottom w:val="single" w:sz="4" w:space="10" w:color="0F4761" w:themeColor="accent1" w:themeShade="BF"/>
      </w:pBdr>
      <w:spacing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19B"/>
    <w:rPr>
      <w:i/>
      <w:iCs/>
      <w:color w:val="0F4761" w:themeColor="accent1" w:themeShade="BF"/>
    </w:rPr>
  </w:style>
  <w:style w:type="character" w:styleId="IntenseReference">
    <w:name w:val="Intense Reference"/>
    <w:basedOn w:val="DefaultParagraphFont"/>
    <w:uiPriority w:val="32"/>
    <w:qFormat/>
    <w:rsid w:val="003F219B"/>
    <w:rPr>
      <w:b/>
      <w:bCs/>
      <w:smallCaps/>
      <w:color w:val="0F4761" w:themeColor="accent1" w:themeShade="BF"/>
      <w:spacing w:val="5"/>
    </w:rPr>
  </w:style>
  <w:style w:type="character" w:styleId="Hyperlink">
    <w:name w:val="Hyperlink"/>
    <w:basedOn w:val="DefaultParagraphFont"/>
    <w:uiPriority w:val="99"/>
    <w:unhideWhenUsed/>
    <w:rsid w:val="00DF5E41"/>
    <w:rPr>
      <w:color w:val="467886" w:themeColor="hyperlink"/>
      <w:u w:val="single"/>
    </w:rPr>
  </w:style>
  <w:style w:type="character" w:styleId="UnresolvedMention">
    <w:name w:val="Unresolved Mention"/>
    <w:basedOn w:val="DefaultParagraphFont"/>
    <w:uiPriority w:val="99"/>
    <w:semiHidden/>
    <w:unhideWhenUsed/>
    <w:rsid w:val="00DF5E41"/>
    <w:rPr>
      <w:color w:val="605E5C"/>
      <w:shd w:val="clear" w:color="auto" w:fill="E1DFDD"/>
    </w:rPr>
  </w:style>
  <w:style w:type="paragraph" w:styleId="EndnoteText">
    <w:name w:val="endnote text"/>
    <w:basedOn w:val="Normal"/>
    <w:link w:val="EndnoteTextChar"/>
    <w:uiPriority w:val="99"/>
    <w:semiHidden/>
    <w:unhideWhenUsed/>
    <w:rsid w:val="001E0D0E"/>
    <w:rPr>
      <w:sz w:val="20"/>
      <w:szCs w:val="20"/>
    </w:rPr>
  </w:style>
  <w:style w:type="character" w:customStyle="1" w:styleId="EndnoteTextChar">
    <w:name w:val="Endnote Text Char"/>
    <w:basedOn w:val="DefaultParagraphFont"/>
    <w:link w:val="EndnoteText"/>
    <w:uiPriority w:val="99"/>
    <w:semiHidden/>
    <w:rsid w:val="001E0D0E"/>
    <w:rPr>
      <w:sz w:val="20"/>
      <w:szCs w:val="20"/>
    </w:rPr>
  </w:style>
  <w:style w:type="character" w:styleId="EndnoteReference">
    <w:name w:val="endnote reference"/>
    <w:basedOn w:val="DefaultParagraphFont"/>
    <w:uiPriority w:val="99"/>
    <w:semiHidden/>
    <w:unhideWhenUsed/>
    <w:rsid w:val="001E0D0E"/>
    <w:rPr>
      <w:vertAlign w:val="superscript"/>
    </w:rPr>
  </w:style>
  <w:style w:type="character" w:styleId="CommentReference">
    <w:name w:val="annotation reference"/>
    <w:basedOn w:val="DefaultParagraphFont"/>
    <w:uiPriority w:val="99"/>
    <w:semiHidden/>
    <w:unhideWhenUsed/>
    <w:rsid w:val="00BF1215"/>
    <w:rPr>
      <w:sz w:val="16"/>
      <w:szCs w:val="16"/>
    </w:rPr>
  </w:style>
  <w:style w:type="paragraph" w:styleId="CommentText">
    <w:name w:val="annotation text"/>
    <w:basedOn w:val="Normal"/>
    <w:link w:val="CommentTextChar"/>
    <w:uiPriority w:val="99"/>
    <w:unhideWhenUsed/>
    <w:rsid w:val="00BF1215"/>
    <w:rPr>
      <w:sz w:val="20"/>
      <w:szCs w:val="20"/>
    </w:rPr>
  </w:style>
  <w:style w:type="character" w:customStyle="1" w:styleId="CommentTextChar">
    <w:name w:val="Comment Text Char"/>
    <w:basedOn w:val="DefaultParagraphFont"/>
    <w:link w:val="CommentText"/>
    <w:uiPriority w:val="99"/>
    <w:rsid w:val="00BF1215"/>
    <w:rPr>
      <w:sz w:val="20"/>
      <w:szCs w:val="20"/>
    </w:rPr>
  </w:style>
  <w:style w:type="paragraph" w:styleId="CommentSubject">
    <w:name w:val="annotation subject"/>
    <w:basedOn w:val="CommentText"/>
    <w:next w:val="CommentText"/>
    <w:link w:val="CommentSubjectChar"/>
    <w:uiPriority w:val="99"/>
    <w:semiHidden/>
    <w:unhideWhenUsed/>
    <w:rsid w:val="00BF1215"/>
    <w:rPr>
      <w:b/>
      <w:bCs/>
    </w:rPr>
  </w:style>
  <w:style w:type="character" w:customStyle="1" w:styleId="CommentSubjectChar">
    <w:name w:val="Comment Subject Char"/>
    <w:basedOn w:val="CommentTextChar"/>
    <w:link w:val="CommentSubject"/>
    <w:uiPriority w:val="99"/>
    <w:semiHidden/>
    <w:rsid w:val="00BF1215"/>
    <w:rPr>
      <w:b/>
      <w:bCs/>
      <w:sz w:val="20"/>
      <w:szCs w:val="20"/>
    </w:rPr>
  </w:style>
  <w:style w:type="paragraph" w:styleId="Revision">
    <w:name w:val="Revision"/>
    <w:hidden/>
    <w:uiPriority w:val="99"/>
    <w:semiHidden/>
    <w:rsid w:val="00BF1215"/>
    <w:pPr>
      <w:spacing w:after="0" w:line="240" w:lineRule="auto"/>
    </w:pPr>
  </w:style>
  <w:style w:type="paragraph" w:styleId="Header">
    <w:name w:val="header"/>
    <w:basedOn w:val="Normal"/>
    <w:link w:val="HeaderChar"/>
    <w:uiPriority w:val="99"/>
    <w:unhideWhenUsed/>
    <w:rsid w:val="005A37EF"/>
    <w:pPr>
      <w:tabs>
        <w:tab w:val="center" w:pos="4680"/>
        <w:tab w:val="right" w:pos="9360"/>
      </w:tabs>
    </w:pPr>
  </w:style>
  <w:style w:type="character" w:customStyle="1" w:styleId="HeaderChar">
    <w:name w:val="Header Char"/>
    <w:basedOn w:val="DefaultParagraphFont"/>
    <w:link w:val="Header"/>
    <w:uiPriority w:val="99"/>
    <w:rsid w:val="005A37EF"/>
  </w:style>
  <w:style w:type="paragraph" w:styleId="Footer">
    <w:name w:val="footer"/>
    <w:basedOn w:val="Normal"/>
    <w:link w:val="FooterChar"/>
    <w:uiPriority w:val="99"/>
    <w:unhideWhenUsed/>
    <w:rsid w:val="005A37EF"/>
    <w:pPr>
      <w:tabs>
        <w:tab w:val="center" w:pos="4680"/>
        <w:tab w:val="right" w:pos="9360"/>
      </w:tabs>
    </w:pPr>
  </w:style>
  <w:style w:type="character" w:customStyle="1" w:styleId="FooterChar">
    <w:name w:val="Footer Char"/>
    <w:basedOn w:val="DefaultParagraphFont"/>
    <w:link w:val="Footer"/>
    <w:uiPriority w:val="99"/>
    <w:rsid w:val="005A37EF"/>
  </w:style>
  <w:style w:type="character" w:styleId="FollowedHyperlink">
    <w:name w:val="FollowedHyperlink"/>
    <w:basedOn w:val="DefaultParagraphFont"/>
    <w:uiPriority w:val="99"/>
    <w:semiHidden/>
    <w:unhideWhenUsed/>
    <w:rsid w:val="00FA1D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en/services/benefits/publicpensions/cpp/old-age-securit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uebec.ca/en/employment/plan-manage-career/plan-retirement/quebec-pension-plan"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en/services/benefits/publicpensions/cpp/cpp-benefit/amoun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en/services/benefits/publicpensions/cpp/old-age-security/guaranteed-income-suppl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2224</PaIntakeId>
    <PaSubmitedBy xmlns="0c6ec2ab-b00e-459c-af4f-50181d597aa9">
      <UserInfo>
        <DisplayName>Andy Tran</DisplayName>
        <AccountId>654</AccountId>
        <AccountType/>
      </UserInfo>
    </PaSubmitedBy>
  </documentManagement>
</p:properties>
</file>

<file path=customXml/item3.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7b70a0a18d0ba5b14a185789ab55cc18">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d878f967eb520d66695b54d0d405441e"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F04FF-F770-4BCE-8807-2809BEC5D1C6}">
  <ds:schemaRefs>
    <ds:schemaRef ds:uri="http://schemas.microsoft.com/sharepoint/v3/contenttype/forms"/>
  </ds:schemaRefs>
</ds:datastoreItem>
</file>

<file path=customXml/itemProps2.xml><?xml version="1.0" encoding="utf-8"?>
<ds:datastoreItem xmlns:ds="http://schemas.openxmlformats.org/officeDocument/2006/customXml" ds:itemID="{12561316-8F12-434C-8DE8-8467A86A6F08}">
  <ds:schemaRefs>
    <ds:schemaRef ds:uri="http://schemas.microsoft.com/office/2006/metadata/properties"/>
    <ds:schemaRef ds:uri="http://schemas.microsoft.com/office/infopath/2007/PartnerControls"/>
    <ds:schemaRef ds:uri="0c6ec2ab-b00e-459c-af4f-50181d597aa9"/>
    <ds:schemaRef ds:uri="1bfe74e5-58b2-41f2-b6ff-fb70c9d71a12"/>
  </ds:schemaRefs>
</ds:datastoreItem>
</file>

<file path=customXml/itemProps3.xml><?xml version="1.0" encoding="utf-8"?>
<ds:datastoreItem xmlns:ds="http://schemas.openxmlformats.org/officeDocument/2006/customXml" ds:itemID="{D0418615-CF39-48E2-9ED0-EEA1E9FFB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ec2ab-b00e-459c-af4f-50181d597aa9"/>
    <ds:schemaRef ds:uri="1bfe74e5-58b2-41f2-b6ff-fb70c9d71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5AAEB-BFC6-4CF2-988C-41EAB759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1190</Words>
  <Characters>6783</Characters>
  <Application>Microsoft Office Word</Application>
  <DocSecurity>4</DocSecurity>
  <Lines>56</Lines>
  <Paragraphs>15</Paragraphs>
  <ScaleCrop>false</ScaleCrop>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Ext. Marketing</dc:creator>
  <cp:keywords/>
  <dc:description/>
  <cp:lastModifiedBy>Gordon Bilissis</cp:lastModifiedBy>
  <cp:revision>2</cp:revision>
  <dcterms:created xsi:type="dcterms:W3CDTF">2026-01-12T13:57:00Z</dcterms:created>
  <dcterms:modified xsi:type="dcterms:W3CDTF">2026-01-12T13:57:00Z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cbd26b29-e4d4-4f21-973e-1a83b2fff3cf</vt:lpwstr>
  </property>
  <property fmtid="{D5CDD505-2E9C-101B-9397-08002B2CF9AE}" pid="3" name="ContentTypeId">
    <vt:lpwstr>0x01010036B5FC2A5FA2C24BA29E090167A6E563000DEAC9307F85AF419BEC8181BAEC7460</vt:lpwstr>
  </property>
  <property fmtid="{D5CDD505-2E9C-101B-9397-08002B2CF9AE}" pid="4" name="MediaServiceImageTags">
    <vt:lpwstr/>
  </property>
</Properties>
</file>